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2DAA2" w14:textId="77777777" w:rsidR="00264E65" w:rsidRDefault="00264E65" w:rsidP="00264E65">
      <w:pPr>
        <w:pStyle w:val="Default"/>
        <w:jc w:val="center"/>
        <w:rPr>
          <w:rFonts w:hAnsi="Times New Roman"/>
          <w:color w:val="000000" w:themeColor="text1"/>
          <w:sz w:val="32"/>
          <w:szCs w:val="32"/>
        </w:rPr>
      </w:pPr>
      <w:bookmarkStart w:id="0" w:name="_Hlk132274508"/>
      <w:bookmarkStart w:id="1" w:name="_Toc531709705"/>
      <w:bookmarkStart w:id="2" w:name="_Toc531709232"/>
      <w:bookmarkStart w:id="3" w:name="_Toc531677467"/>
      <w:bookmarkStart w:id="4" w:name="_Toc531677441"/>
      <w:bookmarkStart w:id="5" w:name="_Toc531611695"/>
      <w:bookmarkStart w:id="6" w:name="_Toc531593955"/>
      <w:bookmarkStart w:id="7" w:name="_Toc531593887"/>
      <w:bookmarkStart w:id="8" w:name="_Toc531593826"/>
      <w:bookmarkStart w:id="9" w:name="_Toc531593772"/>
      <w:r w:rsidRPr="00264E65">
        <w:rPr>
          <w:rFonts w:hAnsi="Times New Roman" w:hint="eastAsia"/>
          <w:color w:val="000000" w:themeColor="text1"/>
          <w:sz w:val="32"/>
          <w:szCs w:val="32"/>
        </w:rPr>
        <w:t>臺中市立大甲國民中學</w:t>
      </w:r>
      <w:bookmarkEnd w:id="1"/>
      <w:bookmarkEnd w:id="2"/>
      <w:bookmarkEnd w:id="3"/>
      <w:bookmarkEnd w:id="4"/>
      <w:bookmarkEnd w:id="5"/>
      <w:bookmarkEnd w:id="6"/>
      <w:bookmarkEnd w:id="7"/>
      <w:bookmarkEnd w:id="8"/>
      <w:bookmarkEnd w:id="9"/>
      <w:r w:rsidRPr="00264E65">
        <w:rPr>
          <w:rFonts w:hAnsi="Times New Roman" w:hint="eastAsia"/>
          <w:color w:val="000000" w:themeColor="text1"/>
          <w:sz w:val="32"/>
          <w:szCs w:val="32"/>
        </w:rPr>
        <w:t>設置太陽能光電球場</w:t>
      </w:r>
    </w:p>
    <w:p w14:paraId="35366DB9" w14:textId="62FAE367" w:rsidR="00DB3365" w:rsidRPr="00AB05DA" w:rsidRDefault="00264E65" w:rsidP="00264E65">
      <w:pPr>
        <w:pStyle w:val="Default"/>
        <w:jc w:val="center"/>
        <w:rPr>
          <w:rFonts w:hAnsi="標楷體"/>
          <w:bCs/>
          <w:color w:val="000000" w:themeColor="text1"/>
          <w:sz w:val="32"/>
          <w:szCs w:val="32"/>
        </w:rPr>
      </w:pPr>
      <w:r w:rsidRPr="00264E65">
        <w:rPr>
          <w:rFonts w:hAnsi="Times New Roman" w:hint="eastAsia"/>
          <w:color w:val="000000" w:themeColor="text1"/>
          <w:sz w:val="32"/>
          <w:szCs w:val="32"/>
        </w:rPr>
        <w:t>暨活動中心(育英館)屋頂標租案</w:t>
      </w:r>
    </w:p>
    <w:p w14:paraId="041C295A" w14:textId="77777777" w:rsidR="00363CD0" w:rsidRPr="00AB05DA" w:rsidRDefault="00363CD0" w:rsidP="00363CD0">
      <w:pPr>
        <w:pStyle w:val="Default"/>
        <w:jc w:val="center"/>
        <w:rPr>
          <w:rFonts w:hAnsi="Times New Roman"/>
          <w:color w:val="000000" w:themeColor="text1"/>
          <w:sz w:val="32"/>
          <w:szCs w:val="32"/>
        </w:rPr>
      </w:pPr>
      <w:r w:rsidRPr="00AB05DA">
        <w:rPr>
          <w:rFonts w:hAnsi="Times New Roman" w:hint="eastAsia"/>
          <w:color w:val="000000" w:themeColor="text1"/>
          <w:sz w:val="32"/>
          <w:szCs w:val="32"/>
        </w:rPr>
        <w:t>檢驗表</w:t>
      </w:r>
    </w:p>
    <w:p w14:paraId="476B1EB0"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設置地址：</w:t>
      </w:r>
      <w:r w:rsidRPr="00AB05DA">
        <w:rPr>
          <w:rFonts w:hAnsi="Times New Roman"/>
          <w:color w:val="000000" w:themeColor="text1"/>
          <w:sz w:val="28"/>
          <w:szCs w:val="28"/>
        </w:rPr>
        <w:t xml:space="preserve"> </w:t>
      </w:r>
    </w:p>
    <w:p w14:paraId="73851A3B"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設置容量：</w:t>
      </w:r>
      <w:r w:rsidRPr="00AB05DA">
        <w:rPr>
          <w:rFonts w:hAnsi="Times New Roman"/>
          <w:color w:val="000000" w:themeColor="text1"/>
          <w:sz w:val="28"/>
          <w:szCs w:val="28"/>
        </w:rPr>
        <w:t xml:space="preserve"> </w:t>
      </w:r>
    </w:p>
    <w:p w14:paraId="544C3089" w14:textId="1D6DD436"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本案業已於中華民國</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年</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月</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日按圖施工完竣，經本</w:t>
      </w:r>
      <w:r w:rsidRPr="00AB05DA">
        <w:rPr>
          <w:rFonts w:ascii="Times New Roman" w:hAnsi="Times New Roman" w:cs="Times New Roman"/>
          <w:color w:val="000000" w:themeColor="text1"/>
          <w:sz w:val="28"/>
          <w:szCs w:val="28"/>
        </w:rPr>
        <w:t>______</w:t>
      </w:r>
      <w:r w:rsidRPr="00AB05DA">
        <w:rPr>
          <w:rFonts w:hAnsi="Times New Roman" w:hint="eastAsia"/>
          <w:color w:val="000000" w:themeColor="text1"/>
          <w:sz w:val="28"/>
          <w:szCs w:val="28"/>
        </w:rPr>
        <w:t>（建築師、土木技師或結構技師）確認太陽光電發電設備之主結構、隔絕要求、太陽能模組、支撐架結構與組件、材質，符合「</w:t>
      </w:r>
      <w:r w:rsidR="00264E65" w:rsidRPr="00264E65">
        <w:rPr>
          <w:rFonts w:hAnsi="Times New Roman" w:hint="eastAsia"/>
          <w:color w:val="000000" w:themeColor="text1"/>
          <w:sz w:val="28"/>
          <w:szCs w:val="28"/>
        </w:rPr>
        <w:t>臺中市立大甲國民中學設置太陽能光電球場暨活動中心(育英館)屋頂標租案</w:t>
      </w:r>
      <w:r w:rsidRPr="00AB05DA">
        <w:rPr>
          <w:rFonts w:hAnsi="Times New Roman" w:hint="eastAsia"/>
          <w:color w:val="000000" w:themeColor="text1"/>
          <w:sz w:val="28"/>
          <w:szCs w:val="28"/>
        </w:rPr>
        <w:t>」契約書第</w:t>
      </w:r>
      <w:r w:rsidR="00FC61BC" w:rsidRPr="00AB05DA">
        <w:rPr>
          <w:rFonts w:hAnsi="Times New Roman" w:hint="eastAsia"/>
          <w:color w:val="000000" w:themeColor="text1"/>
          <w:sz w:val="28"/>
          <w:szCs w:val="28"/>
        </w:rPr>
        <w:t>三</w:t>
      </w:r>
      <w:r w:rsidRPr="00AB05DA">
        <w:rPr>
          <w:rFonts w:hAnsi="Times New Roman" w:hint="eastAsia"/>
          <w:color w:val="000000" w:themeColor="text1"/>
          <w:sz w:val="28"/>
          <w:szCs w:val="28"/>
        </w:rPr>
        <w:t>條之規定。</w:t>
      </w:r>
      <w:r w:rsidRPr="00AB05DA">
        <w:rPr>
          <w:rFonts w:hAnsi="Times New Roman"/>
          <w:color w:val="000000" w:themeColor="text1"/>
          <w:sz w:val="28"/>
          <w:szCs w:val="28"/>
        </w:rPr>
        <w:t xml:space="preserve"> </w:t>
      </w:r>
    </w:p>
    <w:p w14:paraId="09EECF37" w14:textId="77777777" w:rsidR="00363CD0" w:rsidRPr="00AB05DA" w:rsidRDefault="00363CD0" w:rsidP="00363CD0">
      <w:pPr>
        <w:pStyle w:val="Default"/>
        <w:rPr>
          <w:rFonts w:hAnsi="Times New Roman"/>
          <w:color w:val="000000" w:themeColor="text1"/>
          <w:sz w:val="28"/>
          <w:szCs w:val="28"/>
        </w:rPr>
      </w:pPr>
    </w:p>
    <w:p w14:paraId="2990237C" w14:textId="77777777" w:rsidR="00363CD0" w:rsidRPr="00AB05DA" w:rsidRDefault="00363CD0" w:rsidP="00363CD0">
      <w:pPr>
        <w:pStyle w:val="Default"/>
        <w:rPr>
          <w:rFonts w:hAnsi="Times New Roman"/>
          <w:color w:val="000000" w:themeColor="text1"/>
          <w:sz w:val="28"/>
          <w:szCs w:val="28"/>
        </w:rPr>
      </w:pPr>
    </w:p>
    <w:p w14:paraId="19AE0FDC"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簽名或蓋章：</w:t>
      </w:r>
      <w:r w:rsidRPr="00AB05DA">
        <w:rPr>
          <w:rFonts w:hAnsi="Times New Roman"/>
          <w:color w:val="000000" w:themeColor="text1"/>
          <w:sz w:val="28"/>
          <w:szCs w:val="28"/>
        </w:rPr>
        <w:t xml:space="preserve"> </w:t>
      </w:r>
    </w:p>
    <w:p w14:paraId="45A32D29"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開業</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職業執照號碼：</w:t>
      </w:r>
      <w:r w:rsidRPr="00AB05DA">
        <w:rPr>
          <w:rFonts w:hAnsi="Times New Roman"/>
          <w:color w:val="000000" w:themeColor="text1"/>
          <w:sz w:val="28"/>
          <w:szCs w:val="28"/>
        </w:rPr>
        <w:t xml:space="preserve"> </w:t>
      </w:r>
    </w:p>
    <w:p w14:paraId="20084740" w14:textId="77777777" w:rsidR="00E34CF4"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事務所名稱：</w:t>
      </w:r>
      <w:r w:rsidRPr="00AB05DA">
        <w:rPr>
          <w:rFonts w:hAnsi="Times New Roman"/>
          <w:color w:val="000000" w:themeColor="text1"/>
          <w:sz w:val="28"/>
          <w:szCs w:val="28"/>
        </w:rPr>
        <w:t xml:space="preserve"> </w:t>
      </w:r>
    </w:p>
    <w:p w14:paraId="78A2356B" w14:textId="77777777" w:rsidR="00363CD0" w:rsidRPr="00AB05DA" w:rsidRDefault="00363CD0" w:rsidP="00363CD0">
      <w:pPr>
        <w:pStyle w:val="Default"/>
        <w:rPr>
          <w:rFonts w:hAnsi="Times New Roman"/>
          <w:color w:val="000000" w:themeColor="text1"/>
          <w:sz w:val="28"/>
          <w:szCs w:val="28"/>
        </w:rPr>
      </w:pPr>
    </w:p>
    <w:p w14:paraId="01E83B8B" w14:textId="77777777" w:rsidR="00363CD0" w:rsidRPr="00AB05DA" w:rsidRDefault="00363CD0" w:rsidP="00363CD0">
      <w:pPr>
        <w:pStyle w:val="Default"/>
        <w:rPr>
          <w:rFonts w:hAnsi="Times New Roman"/>
          <w:color w:val="000000" w:themeColor="text1"/>
          <w:sz w:val="28"/>
          <w:szCs w:val="28"/>
        </w:rPr>
      </w:pPr>
    </w:p>
    <w:p w14:paraId="4540E5BD" w14:textId="77777777" w:rsidR="00363CD0" w:rsidRPr="00AB05DA" w:rsidRDefault="00363CD0" w:rsidP="00363CD0">
      <w:pPr>
        <w:pStyle w:val="Default"/>
        <w:rPr>
          <w:rFonts w:hAnsi="Times New Roman"/>
          <w:color w:val="000000" w:themeColor="text1"/>
          <w:sz w:val="28"/>
          <w:szCs w:val="28"/>
        </w:rPr>
      </w:pPr>
    </w:p>
    <w:p w14:paraId="65BA5DE0" w14:textId="77777777" w:rsidR="00363CD0" w:rsidRPr="00AB05DA" w:rsidRDefault="00363CD0" w:rsidP="00F972A0">
      <w:pPr>
        <w:pStyle w:val="Default"/>
        <w:jc w:val="center"/>
        <w:rPr>
          <w:rFonts w:hAnsi="Times New Roman"/>
          <w:color w:val="000000" w:themeColor="text1"/>
          <w:sz w:val="28"/>
          <w:szCs w:val="28"/>
        </w:rPr>
      </w:pPr>
      <w:r w:rsidRPr="00AB05DA">
        <w:rPr>
          <w:rFonts w:hAnsi="Times New Roman" w:hint="eastAsia"/>
          <w:color w:val="000000" w:themeColor="text1"/>
          <w:sz w:val="28"/>
          <w:szCs w:val="28"/>
        </w:rPr>
        <w:t>中華民國○○○年○○月○○日</w:t>
      </w:r>
    </w:p>
    <w:bookmarkEnd w:id="0"/>
    <w:p w14:paraId="39B03F87" w14:textId="77777777" w:rsidR="00FF1A54" w:rsidRPr="00AB05DA" w:rsidRDefault="00FF1A54" w:rsidP="00363CD0">
      <w:pPr>
        <w:pStyle w:val="Default"/>
        <w:rPr>
          <w:rFonts w:hAnsi="Times New Roman"/>
          <w:color w:val="000000" w:themeColor="text1"/>
          <w:sz w:val="28"/>
          <w:szCs w:val="28"/>
        </w:rPr>
      </w:pPr>
    </w:p>
    <w:p w14:paraId="39820020" w14:textId="77777777" w:rsidR="00DB3365" w:rsidRPr="00AB05DA" w:rsidRDefault="00DB3365" w:rsidP="00FF1A54">
      <w:pPr>
        <w:pStyle w:val="Default"/>
        <w:jc w:val="center"/>
        <w:rPr>
          <w:rFonts w:hAnsi="Times New Roman"/>
          <w:color w:val="000000" w:themeColor="text1"/>
          <w:sz w:val="32"/>
          <w:szCs w:val="32"/>
        </w:rPr>
      </w:pPr>
    </w:p>
    <w:p w14:paraId="4B4B9C8C" w14:textId="77777777" w:rsidR="00DB3365" w:rsidRPr="00AB05DA" w:rsidRDefault="00DB3365" w:rsidP="00FF1A54">
      <w:pPr>
        <w:pStyle w:val="Default"/>
        <w:jc w:val="center"/>
        <w:rPr>
          <w:rFonts w:hAnsi="Times New Roman"/>
          <w:color w:val="000000" w:themeColor="text1"/>
          <w:sz w:val="32"/>
          <w:szCs w:val="32"/>
        </w:rPr>
      </w:pPr>
    </w:p>
    <w:p w14:paraId="2EC1874B" w14:textId="77777777" w:rsidR="00D56569" w:rsidRPr="00AB05DA" w:rsidRDefault="00D56569" w:rsidP="00FF1A54">
      <w:pPr>
        <w:pStyle w:val="Default"/>
        <w:jc w:val="center"/>
        <w:rPr>
          <w:rFonts w:hAnsi="Times New Roman"/>
          <w:color w:val="000000" w:themeColor="text1"/>
          <w:sz w:val="32"/>
          <w:szCs w:val="32"/>
        </w:rPr>
      </w:pPr>
    </w:p>
    <w:p w14:paraId="0AB90C65" w14:textId="77777777" w:rsidR="0098130B" w:rsidRDefault="0098130B" w:rsidP="0098130B">
      <w:pPr>
        <w:pStyle w:val="Default"/>
        <w:jc w:val="center"/>
        <w:rPr>
          <w:rFonts w:hAnsi="Times New Roman"/>
          <w:color w:val="000000" w:themeColor="text1"/>
          <w:sz w:val="32"/>
          <w:szCs w:val="32"/>
        </w:rPr>
      </w:pPr>
      <w:r w:rsidRPr="00264E65">
        <w:rPr>
          <w:rFonts w:hAnsi="Times New Roman" w:hint="eastAsia"/>
          <w:color w:val="000000" w:themeColor="text1"/>
          <w:sz w:val="32"/>
          <w:szCs w:val="32"/>
        </w:rPr>
        <w:lastRenderedPageBreak/>
        <w:t>臺中市立大甲國民中學設置太陽能光電球場</w:t>
      </w:r>
    </w:p>
    <w:p w14:paraId="7160A05D" w14:textId="781D4618" w:rsidR="00AB05DA" w:rsidRPr="00AB05DA" w:rsidRDefault="0098130B" w:rsidP="0098130B">
      <w:pPr>
        <w:autoSpaceDE w:val="0"/>
        <w:adjustRightInd w:val="0"/>
        <w:jc w:val="center"/>
        <w:rPr>
          <w:rFonts w:ascii="標楷體" w:eastAsia="標楷體" w:hAnsi="標楷體"/>
          <w:bCs/>
          <w:color w:val="000000" w:themeColor="text1"/>
          <w:sz w:val="32"/>
          <w:szCs w:val="32"/>
        </w:rPr>
      </w:pPr>
      <w:r w:rsidRPr="00264E65">
        <w:rPr>
          <w:rFonts w:ascii="標楷體" w:eastAsia="標楷體" w:cs="標楷體" w:hint="eastAsia"/>
          <w:color w:val="000000" w:themeColor="text1"/>
          <w:sz w:val="32"/>
          <w:szCs w:val="32"/>
        </w:rPr>
        <w:t>暨活動中心(育英館)屋頂標租案</w:t>
      </w:r>
    </w:p>
    <w:p w14:paraId="22F500EE" w14:textId="77777777" w:rsidR="00AB05DA" w:rsidRPr="00AB05DA" w:rsidRDefault="00AB05DA" w:rsidP="00AB05DA">
      <w:pPr>
        <w:pStyle w:val="Default"/>
        <w:jc w:val="center"/>
        <w:rPr>
          <w:rFonts w:hAnsi="Times New Roman"/>
          <w:color w:val="000000" w:themeColor="text1"/>
          <w:sz w:val="32"/>
          <w:szCs w:val="32"/>
        </w:rPr>
      </w:pPr>
      <w:r w:rsidRPr="00AB05DA">
        <w:rPr>
          <w:rFonts w:hAnsi="Times New Roman" w:hint="eastAsia"/>
          <w:color w:val="000000" w:themeColor="text1"/>
          <w:sz w:val="32"/>
          <w:szCs w:val="32"/>
        </w:rPr>
        <w:t>檢驗表</w:t>
      </w:r>
    </w:p>
    <w:p w14:paraId="26406E4F"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設置地址：</w:t>
      </w:r>
      <w:r w:rsidRPr="00AB05DA">
        <w:rPr>
          <w:rFonts w:hAnsi="Times New Roman"/>
          <w:color w:val="000000" w:themeColor="text1"/>
          <w:sz w:val="28"/>
          <w:szCs w:val="28"/>
        </w:rPr>
        <w:t xml:space="preserve"> </w:t>
      </w:r>
    </w:p>
    <w:p w14:paraId="10D48E7D"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設置容量：</w:t>
      </w:r>
      <w:r w:rsidRPr="00AB05DA">
        <w:rPr>
          <w:rFonts w:hAnsi="Times New Roman"/>
          <w:color w:val="000000" w:themeColor="text1"/>
          <w:sz w:val="28"/>
          <w:szCs w:val="28"/>
        </w:rPr>
        <w:t xml:space="preserve"> </w:t>
      </w:r>
    </w:p>
    <w:p w14:paraId="456B1751" w14:textId="355958F5" w:rsidR="00FF1A54" w:rsidRPr="00AB05DA" w:rsidRDefault="00FF1A54" w:rsidP="00FF1A54">
      <w:pPr>
        <w:pStyle w:val="Default"/>
        <w:rPr>
          <w:rFonts w:hAnsi="Times New Roman"/>
          <w:color w:val="000000" w:themeColor="text1"/>
          <w:sz w:val="28"/>
          <w:szCs w:val="28"/>
        </w:rPr>
      </w:pPr>
      <w:r w:rsidRPr="00AB05DA">
        <w:rPr>
          <w:rFonts w:hint="eastAsia"/>
          <w:color w:val="000000" w:themeColor="text1"/>
          <w:sz w:val="28"/>
          <w:szCs w:val="28"/>
        </w:rPr>
        <w:t>本案業已於中華民國</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年</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月</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日按圖施工完竣，經本</w:t>
      </w:r>
      <w:r w:rsidRPr="00AB05DA">
        <w:rPr>
          <w:rFonts w:ascii="Times New Roman" w:hAnsi="Times New Roman" w:cs="Times New Roman"/>
          <w:color w:val="000000" w:themeColor="text1"/>
          <w:sz w:val="28"/>
          <w:szCs w:val="28"/>
        </w:rPr>
        <w:t>______</w:t>
      </w:r>
      <w:r w:rsidRPr="00AB05DA">
        <w:rPr>
          <w:rFonts w:hAnsi="Times New Roman" w:hint="eastAsia"/>
          <w:color w:val="000000" w:themeColor="text1"/>
          <w:sz w:val="28"/>
          <w:szCs w:val="28"/>
        </w:rPr>
        <w:t>（電力技師）確認太陽光電發電設備之太陽能模組，符合「</w:t>
      </w:r>
      <w:r w:rsidR="0098130B" w:rsidRPr="00264E65">
        <w:rPr>
          <w:rFonts w:hAnsi="Times New Roman" w:hint="eastAsia"/>
          <w:color w:val="000000" w:themeColor="text1"/>
          <w:sz w:val="28"/>
          <w:szCs w:val="28"/>
        </w:rPr>
        <w:t>臺中市立大甲國民中學設置太陽能光電球場暨活動中心(育英館)屋頂標租案</w:t>
      </w:r>
      <w:r w:rsidRPr="00AB05DA">
        <w:rPr>
          <w:rFonts w:hAnsi="Times New Roman" w:hint="eastAsia"/>
          <w:color w:val="000000" w:themeColor="text1"/>
          <w:sz w:val="28"/>
          <w:szCs w:val="28"/>
        </w:rPr>
        <w:t>」契約書第</w:t>
      </w:r>
      <w:r w:rsidR="00FC61BC" w:rsidRPr="00AB05DA">
        <w:rPr>
          <w:rFonts w:hAnsi="Times New Roman" w:hint="eastAsia"/>
          <w:color w:val="000000" w:themeColor="text1"/>
          <w:sz w:val="28"/>
          <w:szCs w:val="28"/>
        </w:rPr>
        <w:t>三</w:t>
      </w:r>
      <w:r w:rsidRPr="00AB05DA">
        <w:rPr>
          <w:rFonts w:hAnsi="Times New Roman" w:hint="eastAsia"/>
          <w:color w:val="000000" w:themeColor="text1"/>
          <w:sz w:val="28"/>
          <w:szCs w:val="28"/>
        </w:rPr>
        <w:t>條之規定。</w:t>
      </w:r>
    </w:p>
    <w:p w14:paraId="386A6A53" w14:textId="77777777" w:rsidR="00FF1A54" w:rsidRPr="00AB05DA" w:rsidRDefault="00FF1A54" w:rsidP="00FF1A54">
      <w:pPr>
        <w:pStyle w:val="Default"/>
        <w:rPr>
          <w:rFonts w:hAnsi="Times New Roman"/>
          <w:color w:val="000000" w:themeColor="text1"/>
          <w:sz w:val="28"/>
          <w:szCs w:val="28"/>
        </w:rPr>
      </w:pPr>
    </w:p>
    <w:p w14:paraId="657DBB35"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簽名或蓋章：</w:t>
      </w:r>
      <w:r w:rsidRPr="00AB05DA">
        <w:rPr>
          <w:rFonts w:hAnsi="Times New Roman"/>
          <w:color w:val="000000" w:themeColor="text1"/>
          <w:sz w:val="28"/>
          <w:szCs w:val="28"/>
        </w:rPr>
        <w:t xml:space="preserve"> </w:t>
      </w:r>
    </w:p>
    <w:p w14:paraId="2383BDEB"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開業</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職業執照號碼：</w:t>
      </w:r>
      <w:r w:rsidRPr="00AB05DA">
        <w:rPr>
          <w:rFonts w:hAnsi="Times New Roman"/>
          <w:color w:val="000000" w:themeColor="text1"/>
          <w:sz w:val="28"/>
          <w:szCs w:val="28"/>
        </w:rPr>
        <w:t xml:space="preserve"> </w:t>
      </w:r>
    </w:p>
    <w:p w14:paraId="101995CC"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事務所名稱：</w:t>
      </w:r>
      <w:r w:rsidRPr="00AB05DA">
        <w:rPr>
          <w:rFonts w:hAnsi="Times New Roman"/>
          <w:color w:val="000000" w:themeColor="text1"/>
          <w:sz w:val="28"/>
          <w:szCs w:val="28"/>
        </w:rPr>
        <w:t xml:space="preserve"> </w:t>
      </w:r>
    </w:p>
    <w:p w14:paraId="40947A24" w14:textId="77777777" w:rsidR="00FF1A54" w:rsidRPr="00AB05DA" w:rsidRDefault="00FF1A54" w:rsidP="00FF1A54">
      <w:pPr>
        <w:pStyle w:val="Default"/>
        <w:rPr>
          <w:rFonts w:hAnsi="Times New Roman"/>
          <w:color w:val="000000" w:themeColor="text1"/>
          <w:sz w:val="28"/>
          <w:szCs w:val="28"/>
        </w:rPr>
      </w:pPr>
    </w:p>
    <w:p w14:paraId="1B1E986A" w14:textId="77777777" w:rsidR="00FF1A54" w:rsidRPr="00AB05DA" w:rsidRDefault="00FF1A54" w:rsidP="00FF1A54">
      <w:pPr>
        <w:pStyle w:val="Default"/>
        <w:rPr>
          <w:rFonts w:hAnsi="Times New Roman"/>
          <w:color w:val="000000" w:themeColor="text1"/>
          <w:sz w:val="28"/>
          <w:szCs w:val="28"/>
        </w:rPr>
      </w:pPr>
    </w:p>
    <w:p w14:paraId="7FC9CC1B" w14:textId="77777777" w:rsidR="00FF1A54" w:rsidRPr="00AB05DA" w:rsidRDefault="00FF1A54" w:rsidP="00FF1A54">
      <w:pPr>
        <w:pStyle w:val="Default"/>
        <w:rPr>
          <w:rFonts w:hAnsi="Times New Roman"/>
          <w:color w:val="000000" w:themeColor="text1"/>
          <w:sz w:val="28"/>
          <w:szCs w:val="28"/>
        </w:rPr>
      </w:pPr>
    </w:p>
    <w:p w14:paraId="7BA83173" w14:textId="77777777" w:rsidR="00FF1A54" w:rsidRPr="00AB05DA" w:rsidRDefault="00FF1A54" w:rsidP="00F972A0">
      <w:pPr>
        <w:pStyle w:val="Default"/>
        <w:jc w:val="center"/>
        <w:rPr>
          <w:rFonts w:hAnsi="Times New Roman"/>
          <w:color w:val="000000" w:themeColor="text1"/>
          <w:sz w:val="28"/>
          <w:szCs w:val="28"/>
        </w:rPr>
      </w:pPr>
      <w:r w:rsidRPr="00AB05DA">
        <w:rPr>
          <w:rFonts w:hAnsi="Times New Roman" w:hint="eastAsia"/>
          <w:color w:val="000000" w:themeColor="text1"/>
          <w:sz w:val="28"/>
          <w:szCs w:val="28"/>
        </w:rPr>
        <w:t>中華民國○○○年○○月○○日</w:t>
      </w:r>
    </w:p>
    <w:p w14:paraId="7E7DFC8A" w14:textId="77777777" w:rsidR="00FF1A54" w:rsidRPr="00AB05DA" w:rsidRDefault="00FF1A54" w:rsidP="00363CD0">
      <w:pPr>
        <w:pStyle w:val="Default"/>
        <w:rPr>
          <w:rFonts w:hAnsi="Times New Roman"/>
          <w:color w:val="000000" w:themeColor="text1"/>
          <w:sz w:val="28"/>
          <w:szCs w:val="28"/>
        </w:rPr>
      </w:pPr>
    </w:p>
    <w:p w14:paraId="424E2C66" w14:textId="77777777" w:rsidR="00D44DDA" w:rsidRPr="00AB05DA" w:rsidRDefault="00D44DDA" w:rsidP="00363CD0">
      <w:pPr>
        <w:pStyle w:val="Default"/>
        <w:rPr>
          <w:rFonts w:hAnsi="Times New Roman"/>
          <w:color w:val="000000" w:themeColor="text1"/>
          <w:sz w:val="28"/>
          <w:szCs w:val="28"/>
        </w:rPr>
      </w:pPr>
    </w:p>
    <w:p w14:paraId="4C0A1F0B" w14:textId="77777777" w:rsidR="00D44DDA" w:rsidRPr="00AB05DA" w:rsidRDefault="00D44DDA" w:rsidP="00363CD0">
      <w:pPr>
        <w:pStyle w:val="Default"/>
        <w:rPr>
          <w:rFonts w:hAnsi="Times New Roman"/>
          <w:color w:val="000000" w:themeColor="text1"/>
          <w:sz w:val="28"/>
          <w:szCs w:val="28"/>
        </w:rPr>
      </w:pPr>
    </w:p>
    <w:p w14:paraId="64FDB374" w14:textId="2C3168BA" w:rsidR="00D44DDA" w:rsidRPr="00AB05DA" w:rsidRDefault="00D44DDA" w:rsidP="00363CD0">
      <w:pPr>
        <w:pStyle w:val="Default"/>
        <w:rPr>
          <w:rFonts w:hAnsi="Times New Roman"/>
          <w:color w:val="000000" w:themeColor="text1"/>
          <w:sz w:val="28"/>
          <w:szCs w:val="28"/>
        </w:rPr>
      </w:pPr>
    </w:p>
    <w:p w14:paraId="7E8B7F3C" w14:textId="77777777" w:rsidR="00AB05DA" w:rsidRPr="00AB05DA" w:rsidRDefault="00AB05DA" w:rsidP="00363CD0">
      <w:pPr>
        <w:pStyle w:val="Default"/>
        <w:rPr>
          <w:rFonts w:hAnsi="Times New Roman"/>
          <w:color w:val="000000" w:themeColor="text1"/>
          <w:sz w:val="28"/>
          <w:szCs w:val="28"/>
        </w:rPr>
      </w:pPr>
    </w:p>
    <w:p w14:paraId="73DA5E7A" w14:textId="77777777" w:rsidR="00D56569" w:rsidRPr="00AB05DA" w:rsidRDefault="00D56569" w:rsidP="00363CD0">
      <w:pPr>
        <w:pStyle w:val="Default"/>
        <w:rPr>
          <w:rFonts w:hAnsi="Times New Roman"/>
          <w:color w:val="000000" w:themeColor="text1"/>
          <w:sz w:val="28"/>
          <w:szCs w:val="28"/>
        </w:rPr>
      </w:pPr>
    </w:p>
    <w:p w14:paraId="2D92A027" w14:textId="77777777" w:rsidR="006F2058" w:rsidRDefault="006F2058" w:rsidP="006F2058">
      <w:pPr>
        <w:pStyle w:val="Default"/>
        <w:jc w:val="center"/>
        <w:rPr>
          <w:rFonts w:hAnsi="Times New Roman"/>
          <w:color w:val="000000" w:themeColor="text1"/>
          <w:sz w:val="32"/>
          <w:szCs w:val="32"/>
        </w:rPr>
      </w:pPr>
      <w:bookmarkStart w:id="10" w:name="_Toc20994460"/>
      <w:r w:rsidRPr="00264E65">
        <w:rPr>
          <w:rFonts w:hAnsi="Times New Roman" w:hint="eastAsia"/>
          <w:color w:val="000000" w:themeColor="text1"/>
          <w:sz w:val="32"/>
          <w:szCs w:val="32"/>
        </w:rPr>
        <w:lastRenderedPageBreak/>
        <w:t>臺中市立大甲國民中學設置太陽能光電球場</w:t>
      </w:r>
    </w:p>
    <w:p w14:paraId="4C44AE8F" w14:textId="6D16C5A4" w:rsidR="00AB05DA" w:rsidRPr="00AB05DA" w:rsidRDefault="006F2058" w:rsidP="006F2058">
      <w:pPr>
        <w:autoSpaceDE w:val="0"/>
        <w:adjustRightInd w:val="0"/>
        <w:jc w:val="center"/>
        <w:rPr>
          <w:rFonts w:ascii="標楷體" w:eastAsia="標楷體" w:hAnsi="標楷體"/>
          <w:bCs/>
          <w:color w:val="000000" w:themeColor="text1"/>
          <w:sz w:val="32"/>
          <w:szCs w:val="32"/>
        </w:rPr>
      </w:pPr>
      <w:r w:rsidRPr="00264E65">
        <w:rPr>
          <w:rFonts w:ascii="標楷體" w:eastAsia="標楷體" w:cs="標楷體" w:hint="eastAsia"/>
          <w:color w:val="000000" w:themeColor="text1"/>
          <w:sz w:val="32"/>
          <w:szCs w:val="32"/>
        </w:rPr>
        <w:t>暨活動中心(育英館)屋頂標租案</w:t>
      </w:r>
      <w:bookmarkStart w:id="11" w:name="_GoBack"/>
      <w:bookmarkEnd w:id="11"/>
    </w:p>
    <w:p w14:paraId="66DD40E5" w14:textId="77777777" w:rsidR="00D44DDA" w:rsidRPr="00AB05DA" w:rsidRDefault="00D44DDA" w:rsidP="00A37E91">
      <w:pPr>
        <w:autoSpaceDE w:val="0"/>
        <w:adjustRightInd w:val="0"/>
        <w:jc w:val="center"/>
        <w:rPr>
          <w:rFonts w:ascii="標楷體" w:eastAsia="標楷體" w:hAnsi="標楷體"/>
          <w:bCs/>
          <w:color w:val="000000" w:themeColor="text1"/>
          <w:sz w:val="32"/>
          <w:szCs w:val="32"/>
        </w:rPr>
      </w:pPr>
      <w:r w:rsidRPr="00AB05DA">
        <w:rPr>
          <w:rFonts w:ascii="標楷體" w:eastAsia="標楷體" w:hAnsi="標楷體"/>
          <w:bCs/>
          <w:color w:val="000000" w:themeColor="text1"/>
          <w:sz w:val="32"/>
          <w:szCs w:val="32"/>
        </w:rPr>
        <w:t>檢驗項目</w:t>
      </w:r>
      <w:bookmarkEnd w:id="10"/>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09"/>
        <w:gridCol w:w="6237"/>
        <w:gridCol w:w="850"/>
        <w:gridCol w:w="1276"/>
      </w:tblGrid>
      <w:tr w:rsidR="00AB05DA" w:rsidRPr="00AB05DA" w14:paraId="0C72A6E8" w14:textId="77777777" w:rsidTr="001F0D40">
        <w:trPr>
          <w:trHeight w:val="665"/>
          <w:tblHeader/>
        </w:trPr>
        <w:tc>
          <w:tcPr>
            <w:tcW w:w="1276" w:type="dxa"/>
            <w:shd w:val="clear" w:color="auto" w:fill="F0F0F0"/>
            <w:vAlign w:val="center"/>
          </w:tcPr>
          <w:p w14:paraId="5A3324ED" w14:textId="31B5C7B3"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類別</w:t>
            </w:r>
          </w:p>
        </w:tc>
        <w:tc>
          <w:tcPr>
            <w:tcW w:w="709" w:type="dxa"/>
            <w:shd w:val="clear" w:color="auto" w:fill="F0F0F0"/>
            <w:vAlign w:val="center"/>
          </w:tcPr>
          <w:p w14:paraId="1C56D2D1" w14:textId="1081B44C"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項次</w:t>
            </w:r>
          </w:p>
        </w:tc>
        <w:tc>
          <w:tcPr>
            <w:tcW w:w="6237" w:type="dxa"/>
            <w:shd w:val="clear" w:color="auto" w:fill="F0F0F0"/>
            <w:vAlign w:val="center"/>
          </w:tcPr>
          <w:p w14:paraId="095ABC1D" w14:textId="0C984E47"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項目</w:t>
            </w:r>
          </w:p>
        </w:tc>
        <w:tc>
          <w:tcPr>
            <w:tcW w:w="850" w:type="dxa"/>
            <w:shd w:val="clear" w:color="auto" w:fill="F0F0F0"/>
            <w:vAlign w:val="center"/>
          </w:tcPr>
          <w:p w14:paraId="268CBC1D" w14:textId="77777777" w:rsidR="001F0D40" w:rsidRPr="00AB05DA" w:rsidRDefault="00830524" w:rsidP="001F0D40">
            <w:pPr>
              <w:pStyle w:val="TableParagraph"/>
              <w:spacing w:line="320" w:lineRule="exact"/>
              <w:jc w:val="center"/>
              <w:rPr>
                <w:rFonts w:ascii="標楷體" w:eastAsia="標楷體" w:hAnsi="標楷體"/>
                <w:color w:val="000000" w:themeColor="text1"/>
                <w:sz w:val="26"/>
              </w:rPr>
            </w:pPr>
            <w:r w:rsidRPr="00AB05DA">
              <w:rPr>
                <w:rFonts w:ascii="標楷體" w:eastAsia="標楷體" w:hAnsi="標楷體"/>
                <w:color w:val="000000" w:themeColor="text1"/>
                <w:sz w:val="26"/>
              </w:rPr>
              <w:t>檢查</w:t>
            </w:r>
          </w:p>
          <w:p w14:paraId="78EF4A85" w14:textId="79860C24" w:rsidR="00830524" w:rsidRPr="00AB05DA" w:rsidRDefault="00830524" w:rsidP="001F0D40">
            <w:pPr>
              <w:pStyle w:val="TableParagraph"/>
              <w:spacing w:line="320" w:lineRule="exact"/>
              <w:jc w:val="center"/>
              <w:rPr>
                <w:rFonts w:ascii="標楷體" w:eastAsia="標楷體" w:hAnsi="標楷體"/>
                <w:color w:val="000000" w:themeColor="text1"/>
                <w:sz w:val="26"/>
              </w:rPr>
            </w:pPr>
            <w:r w:rsidRPr="00AB05DA">
              <w:rPr>
                <w:rFonts w:ascii="標楷體" w:eastAsia="標楷體" w:hAnsi="標楷體"/>
                <w:color w:val="000000" w:themeColor="text1"/>
                <w:sz w:val="26"/>
              </w:rPr>
              <w:t>結果</w:t>
            </w:r>
          </w:p>
        </w:tc>
        <w:tc>
          <w:tcPr>
            <w:tcW w:w="1276" w:type="dxa"/>
            <w:shd w:val="clear" w:color="auto" w:fill="F0F0F0"/>
            <w:vAlign w:val="center"/>
          </w:tcPr>
          <w:p w14:paraId="2D756A10" w14:textId="63F2595F"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備註</w:t>
            </w:r>
          </w:p>
        </w:tc>
      </w:tr>
      <w:tr w:rsidR="00AB05DA" w:rsidRPr="00AB05DA" w14:paraId="1D59D0B3" w14:textId="77777777" w:rsidTr="001F0D40">
        <w:trPr>
          <w:trHeight w:val="1386"/>
        </w:trPr>
        <w:tc>
          <w:tcPr>
            <w:tcW w:w="1276" w:type="dxa"/>
            <w:vMerge w:val="restart"/>
            <w:vAlign w:val="center"/>
          </w:tcPr>
          <w:p w14:paraId="2310D9AD" w14:textId="6AE1F05A" w:rsidR="00830524" w:rsidRPr="00AB05DA" w:rsidRDefault="00830524" w:rsidP="006B43FF">
            <w:pPr>
              <w:pStyle w:val="TableParagraph"/>
              <w:spacing w:before="6" w:line="290" w:lineRule="auto"/>
              <w:ind w:left="112" w:right="251"/>
              <w:jc w:val="both"/>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風雨球場設計與隔絕要求</w:t>
            </w:r>
          </w:p>
        </w:tc>
        <w:tc>
          <w:tcPr>
            <w:tcW w:w="709" w:type="dxa"/>
            <w:vAlign w:val="center"/>
          </w:tcPr>
          <w:p w14:paraId="16086388" w14:textId="77777777" w:rsidR="00830524" w:rsidRPr="00AB05DA" w:rsidRDefault="00830524" w:rsidP="002238A4">
            <w:pPr>
              <w:pStyle w:val="TableParagraph"/>
              <w:spacing w:before="219"/>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1</w:t>
            </w:r>
          </w:p>
        </w:tc>
        <w:tc>
          <w:tcPr>
            <w:tcW w:w="6237" w:type="dxa"/>
          </w:tcPr>
          <w:p w14:paraId="39CC2F4B" w14:textId="1FB92506"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運動場由安全線（球場為球場邊線、非球場為區域最邊緣線），由地面起算至樑所有淨高皆達7公尺（含）以上，且太陽能光電發電系統須完整覆蓋整個施作標的球場。</w:t>
            </w:r>
          </w:p>
        </w:tc>
        <w:tc>
          <w:tcPr>
            <w:tcW w:w="850" w:type="dxa"/>
            <w:vAlign w:val="center"/>
          </w:tcPr>
          <w:p w14:paraId="33E5C634" w14:textId="6157DD7B"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0"/>
                <w:sz w:val="26"/>
              </w:rPr>
              <w:t>□是</w:t>
            </w:r>
          </w:p>
          <w:p w14:paraId="10F192BC" w14:textId="02D89A12"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0"/>
                <w:sz w:val="26"/>
              </w:rPr>
              <w:t>□否</w:t>
            </w:r>
          </w:p>
        </w:tc>
        <w:tc>
          <w:tcPr>
            <w:tcW w:w="1276" w:type="dxa"/>
          </w:tcPr>
          <w:p w14:paraId="1E96E19C"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6A07FA89" w14:textId="77777777" w:rsidTr="001F0D40">
        <w:trPr>
          <w:trHeight w:val="801"/>
        </w:trPr>
        <w:tc>
          <w:tcPr>
            <w:tcW w:w="1276" w:type="dxa"/>
            <w:vMerge/>
            <w:tcBorders>
              <w:top w:val="nil"/>
            </w:tcBorders>
          </w:tcPr>
          <w:p w14:paraId="19A83141"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2ADC2021" w14:textId="77777777" w:rsidR="00830524" w:rsidRPr="00AB05DA" w:rsidRDefault="00830524" w:rsidP="002238A4">
            <w:pPr>
              <w:pStyle w:val="TableParagraph"/>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2</w:t>
            </w:r>
          </w:p>
        </w:tc>
        <w:tc>
          <w:tcPr>
            <w:tcW w:w="6237" w:type="dxa"/>
          </w:tcPr>
          <w:p w14:paraId="59C94C82" w14:textId="146511EA" w:rsidR="00830524" w:rsidRPr="00AB05DA" w:rsidRDefault="00117B0D"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hint="eastAsia"/>
                <w:color w:val="000000" w:themeColor="text1"/>
                <w:sz w:val="26"/>
                <w:lang w:eastAsia="zh-TW"/>
              </w:rPr>
              <w:t>光電球場屋頂之傾角，是否影響校內師生、教學環境及週邊機關、住戶，屋頂洩水是否合宜，排水順暢。</w:t>
            </w:r>
          </w:p>
        </w:tc>
        <w:tc>
          <w:tcPr>
            <w:tcW w:w="850" w:type="dxa"/>
            <w:vAlign w:val="center"/>
          </w:tcPr>
          <w:p w14:paraId="1A88EBC0" w14:textId="4A9B449C"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1C8D408" w14:textId="41A3E49F"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607B01FC"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1277906F" w14:textId="77777777" w:rsidTr="001F0D40">
        <w:trPr>
          <w:trHeight w:val="796"/>
        </w:trPr>
        <w:tc>
          <w:tcPr>
            <w:tcW w:w="1276" w:type="dxa"/>
            <w:vMerge/>
            <w:tcBorders>
              <w:top w:val="nil"/>
            </w:tcBorders>
          </w:tcPr>
          <w:p w14:paraId="4F233961"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2E2417F1"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3</w:t>
            </w:r>
          </w:p>
        </w:tc>
        <w:tc>
          <w:tcPr>
            <w:tcW w:w="6237" w:type="dxa"/>
          </w:tcPr>
          <w:p w14:paraId="39B73D43" w14:textId="5C4A94FE"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每個球場結構支柱需包覆由地面起算，高度達2 尺防護墊（材質：EVA、厚度：30mm）。</w:t>
            </w:r>
          </w:p>
        </w:tc>
        <w:tc>
          <w:tcPr>
            <w:tcW w:w="850" w:type="dxa"/>
            <w:vAlign w:val="center"/>
          </w:tcPr>
          <w:p w14:paraId="45B5FC78" w14:textId="47869156"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1A36C38" w14:textId="10826776" w:rsidR="00830524" w:rsidRPr="00AB05DA" w:rsidRDefault="00830524" w:rsidP="002238A4">
            <w:pPr>
              <w:pStyle w:val="TableParagraph"/>
              <w:spacing w:line="319"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57B9E60"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7EA67AD7" w14:textId="77777777" w:rsidTr="001F0D40">
        <w:trPr>
          <w:trHeight w:val="801"/>
        </w:trPr>
        <w:tc>
          <w:tcPr>
            <w:tcW w:w="1276" w:type="dxa"/>
            <w:vMerge/>
            <w:tcBorders>
              <w:top w:val="nil"/>
            </w:tcBorders>
          </w:tcPr>
          <w:p w14:paraId="0FECB7B6"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35BAEFB3"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4</w:t>
            </w:r>
          </w:p>
        </w:tc>
        <w:tc>
          <w:tcPr>
            <w:tcW w:w="6237" w:type="dxa"/>
          </w:tcPr>
          <w:p w14:paraId="5F8A8110" w14:textId="01EB6DDB"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hint="eastAsia"/>
                <w:color w:val="000000" w:themeColor="text1"/>
                <w:sz w:val="26"/>
                <w:lang w:eastAsia="zh-TW"/>
              </w:rPr>
              <w:t>重要機電位置加裝隔離圍欄，並設置危險告示。</w:t>
            </w:r>
            <w:r w:rsidRPr="00AB05DA">
              <w:rPr>
                <w:rFonts w:ascii="標楷體" w:eastAsia="標楷體" w:hAnsi="標楷體" w:cs="細明體" w:hint="eastAsia"/>
                <w:color w:val="000000" w:themeColor="text1"/>
                <w:sz w:val="26"/>
                <w:lang w:eastAsia="zh-TW"/>
              </w:rPr>
              <w:t>若為金屬隔離圍欄，應予接地。</w:t>
            </w:r>
          </w:p>
        </w:tc>
        <w:tc>
          <w:tcPr>
            <w:tcW w:w="850" w:type="dxa"/>
            <w:vAlign w:val="center"/>
          </w:tcPr>
          <w:p w14:paraId="5F863740" w14:textId="75C7DDD3"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B02766E" w14:textId="0F95DE31" w:rsidR="00830524" w:rsidRPr="00AB05DA" w:rsidRDefault="00830524" w:rsidP="002238A4">
            <w:pPr>
              <w:pStyle w:val="TableParagraph"/>
              <w:spacing w:line="321"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68862E2E"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13BAF06E" w14:textId="77777777" w:rsidTr="001F0D40">
        <w:trPr>
          <w:trHeight w:val="1043"/>
        </w:trPr>
        <w:tc>
          <w:tcPr>
            <w:tcW w:w="1276" w:type="dxa"/>
            <w:vMerge/>
            <w:tcBorders>
              <w:top w:val="nil"/>
            </w:tcBorders>
          </w:tcPr>
          <w:p w14:paraId="53C38C08"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1BC2BB21" w14:textId="77777777" w:rsidR="00830524" w:rsidRPr="00AB05DA" w:rsidRDefault="00830524" w:rsidP="002238A4">
            <w:pPr>
              <w:pStyle w:val="TableParagraph"/>
              <w:spacing w:before="2"/>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5</w:t>
            </w:r>
          </w:p>
        </w:tc>
        <w:tc>
          <w:tcPr>
            <w:tcW w:w="6237" w:type="dxa"/>
          </w:tcPr>
          <w:p w14:paraId="1891AF97" w14:textId="3B8DA578"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加裝設漏電斷路器，且需符合「用戶用電設備裝置規則」、等相關規定，並於施工完成後確認漏電斷路器使用功能正常。</w:t>
            </w:r>
          </w:p>
        </w:tc>
        <w:tc>
          <w:tcPr>
            <w:tcW w:w="850" w:type="dxa"/>
            <w:vAlign w:val="center"/>
          </w:tcPr>
          <w:p w14:paraId="2809FC17" w14:textId="0379BF11"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218B5BB" w14:textId="70A3AAAB"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9008354"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19777E86" w14:textId="77777777" w:rsidTr="001F0D40">
        <w:trPr>
          <w:trHeight w:val="799"/>
        </w:trPr>
        <w:tc>
          <w:tcPr>
            <w:tcW w:w="1276" w:type="dxa"/>
            <w:vMerge/>
            <w:tcBorders>
              <w:top w:val="nil"/>
            </w:tcBorders>
          </w:tcPr>
          <w:p w14:paraId="05A6674F"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395C9A55"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6</w:t>
            </w:r>
          </w:p>
        </w:tc>
        <w:tc>
          <w:tcPr>
            <w:tcW w:w="6237" w:type="dxa"/>
          </w:tcPr>
          <w:p w14:paraId="30997E14" w14:textId="1CB45B4C"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s="細明體"/>
                <w:color w:val="000000" w:themeColor="text1"/>
                <w:sz w:val="26"/>
                <w:lang w:eastAsia="zh-TW"/>
              </w:rPr>
              <w:t>光電發電系統須獨立設置表地，</w:t>
            </w:r>
            <w:r w:rsidRPr="00AB05DA">
              <w:rPr>
                <w:rFonts w:ascii="標楷體" w:eastAsia="標楷體" w:hAnsi="標楷體"/>
                <w:color w:val="000000" w:themeColor="text1"/>
                <w:sz w:val="26"/>
                <w:lang w:eastAsia="zh-TW"/>
              </w:rPr>
              <w:t>相關線路接地標準應依「用戶用電設備裝置規則」等規範施作。</w:t>
            </w:r>
          </w:p>
        </w:tc>
        <w:tc>
          <w:tcPr>
            <w:tcW w:w="850" w:type="dxa"/>
            <w:vAlign w:val="center"/>
          </w:tcPr>
          <w:p w14:paraId="0B869EE2" w14:textId="51D74480"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68A00DE" w14:textId="4A6BCF5F" w:rsidR="00830524" w:rsidRPr="00AB05DA" w:rsidRDefault="00830524" w:rsidP="002238A4">
            <w:pPr>
              <w:pStyle w:val="TableParagraph"/>
              <w:spacing w:line="322"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37502A67"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67927AD2" w14:textId="77777777" w:rsidTr="001F0D40">
        <w:trPr>
          <w:trHeight w:val="833"/>
        </w:trPr>
        <w:tc>
          <w:tcPr>
            <w:tcW w:w="1276" w:type="dxa"/>
            <w:vMerge/>
            <w:tcBorders>
              <w:top w:val="nil"/>
            </w:tcBorders>
          </w:tcPr>
          <w:p w14:paraId="183D8AA3"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6907416B" w14:textId="77777777" w:rsidR="00830524" w:rsidRPr="00AB05DA" w:rsidRDefault="00830524" w:rsidP="002238A4">
            <w:pPr>
              <w:pStyle w:val="TableParagraph"/>
              <w:spacing w:before="4"/>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7</w:t>
            </w:r>
          </w:p>
        </w:tc>
        <w:tc>
          <w:tcPr>
            <w:tcW w:w="6237" w:type="dxa"/>
          </w:tcPr>
          <w:p w14:paraId="103FEB04" w14:textId="5C742019"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為避免場地濕滑，整體設計應達到防漏水。惟雨天是否可教學、提供民眾使用需視當天狀況而定。</w:t>
            </w:r>
          </w:p>
        </w:tc>
        <w:tc>
          <w:tcPr>
            <w:tcW w:w="850" w:type="dxa"/>
            <w:vAlign w:val="center"/>
          </w:tcPr>
          <w:p w14:paraId="7F27A76E" w14:textId="24FF466E"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F4F22E5" w14:textId="703DB869"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09FA6F74"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59B70EF2" w14:textId="77777777" w:rsidTr="001F0D40">
        <w:trPr>
          <w:trHeight w:val="1101"/>
        </w:trPr>
        <w:tc>
          <w:tcPr>
            <w:tcW w:w="1276" w:type="dxa"/>
            <w:vMerge/>
            <w:tcBorders>
              <w:top w:val="nil"/>
            </w:tcBorders>
          </w:tcPr>
          <w:p w14:paraId="797EC7A4"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016ED7F6"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8</w:t>
            </w:r>
          </w:p>
        </w:tc>
        <w:tc>
          <w:tcPr>
            <w:tcW w:w="6237" w:type="dxa"/>
          </w:tcPr>
          <w:p w14:paraId="145FB85C" w14:textId="69024624"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若加裝照明設備：照明設備應選擇適合該球場之照明設備，</w:t>
            </w:r>
            <w:r w:rsidR="00FF0C91" w:rsidRPr="00AB05DA">
              <w:rPr>
                <w:rFonts w:ascii="標楷體" w:eastAsia="標楷體" w:hAnsi="標楷體" w:cs="細明體" w:hint="eastAsia"/>
                <w:color w:val="000000" w:themeColor="text1"/>
                <w:sz w:val="26"/>
                <w:lang w:eastAsia="zh-TW"/>
              </w:rPr>
              <w:t>籃球場</w:t>
            </w:r>
            <w:r w:rsidRPr="00AB05DA">
              <w:rPr>
                <w:rFonts w:ascii="標楷體" w:eastAsia="標楷體" w:hAnsi="標楷體" w:cs="細明體"/>
                <w:color w:val="000000" w:themeColor="text1"/>
                <w:sz w:val="26"/>
                <w:lang w:eastAsia="zh-TW"/>
              </w:rPr>
              <w:t>地面平均照度</w:t>
            </w:r>
            <w:r w:rsidR="00AB05DA" w:rsidRPr="00AB05DA">
              <w:rPr>
                <w:rFonts w:ascii="標楷體" w:eastAsia="標楷體" w:hAnsi="標楷體" w:cs="細明體" w:hint="eastAsia"/>
                <w:color w:val="000000" w:themeColor="text1"/>
                <w:sz w:val="26"/>
                <w:lang w:eastAsia="zh-TW"/>
              </w:rPr>
              <w:t>3</w:t>
            </w:r>
            <w:r w:rsidRPr="00AB05DA">
              <w:rPr>
                <w:rFonts w:ascii="標楷體" w:eastAsia="標楷體" w:hAnsi="標楷體" w:cs="細明體"/>
                <w:color w:val="000000" w:themeColor="text1"/>
                <w:sz w:val="26"/>
                <w:lang w:eastAsia="zh-TW"/>
              </w:rPr>
              <w:t>00Lux以上</w:t>
            </w:r>
            <w:r w:rsidR="0084191B" w:rsidRPr="00AB05DA">
              <w:rPr>
                <w:rFonts w:ascii="標楷體" w:eastAsia="標楷體" w:hAnsi="標楷體" w:cs="細明體" w:hint="eastAsia"/>
                <w:color w:val="000000" w:themeColor="text1"/>
                <w:sz w:val="26"/>
                <w:lang w:eastAsia="zh-TW"/>
              </w:rPr>
              <w:t>，</w:t>
            </w:r>
            <w:r w:rsidR="001C64A5" w:rsidRPr="00AB05DA">
              <w:rPr>
                <w:rFonts w:ascii="標楷體" w:eastAsia="標楷體" w:hAnsi="標楷體" w:cs="細明體"/>
                <w:color w:val="000000" w:themeColor="text1"/>
                <w:sz w:val="26"/>
                <w:lang w:eastAsia="zh-TW"/>
              </w:rPr>
              <w:t>排</w:t>
            </w:r>
            <w:r w:rsidR="00FF0C91" w:rsidRPr="00AB05DA">
              <w:rPr>
                <w:rFonts w:ascii="標楷體" w:eastAsia="標楷體" w:hAnsi="標楷體" w:cs="細明體" w:hint="eastAsia"/>
                <w:color w:val="000000" w:themeColor="text1"/>
                <w:sz w:val="26"/>
                <w:lang w:eastAsia="zh-TW"/>
              </w:rPr>
              <w:t>球場</w:t>
            </w:r>
            <w:r w:rsidR="00EF42F3" w:rsidRPr="00AB05DA">
              <w:rPr>
                <w:rFonts w:ascii="標楷體" w:eastAsia="標楷體" w:hAnsi="標楷體" w:cs="細明體"/>
                <w:color w:val="000000" w:themeColor="text1"/>
                <w:sz w:val="26"/>
                <w:lang w:eastAsia="zh-TW"/>
              </w:rPr>
              <w:t>地面平均照度</w:t>
            </w:r>
            <w:r w:rsidR="00EF42F3" w:rsidRPr="00AB05DA">
              <w:rPr>
                <w:rFonts w:ascii="標楷體" w:eastAsia="標楷體" w:hAnsi="標楷體" w:cs="細明體" w:hint="eastAsia"/>
                <w:color w:val="000000" w:themeColor="text1"/>
                <w:sz w:val="26"/>
                <w:lang w:eastAsia="zh-TW"/>
              </w:rPr>
              <w:t>5</w:t>
            </w:r>
            <w:r w:rsidR="00EF42F3" w:rsidRPr="00AB05DA">
              <w:rPr>
                <w:rFonts w:ascii="標楷體" w:eastAsia="標楷體" w:hAnsi="標楷體" w:cs="細明體"/>
                <w:color w:val="000000" w:themeColor="text1"/>
                <w:sz w:val="26"/>
                <w:lang w:eastAsia="zh-TW"/>
              </w:rPr>
              <w:t>00Lux以上</w:t>
            </w:r>
            <w:r w:rsidR="0084191B" w:rsidRPr="00AB05DA">
              <w:rPr>
                <w:rFonts w:ascii="標楷體" w:eastAsia="標楷體" w:hAnsi="標楷體" w:cs="細明體"/>
                <w:color w:val="000000" w:themeColor="text1"/>
                <w:sz w:val="26"/>
                <w:lang w:eastAsia="zh-TW"/>
              </w:rPr>
              <w:t>。</w:t>
            </w:r>
          </w:p>
        </w:tc>
        <w:tc>
          <w:tcPr>
            <w:tcW w:w="850" w:type="dxa"/>
            <w:vAlign w:val="center"/>
          </w:tcPr>
          <w:p w14:paraId="3730598C" w14:textId="0AD874CE"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4E810B5" w14:textId="2D05C29A"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65D5E4CA"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66B344AB" w14:textId="77777777" w:rsidTr="001F0D40">
        <w:trPr>
          <w:trHeight w:val="801"/>
        </w:trPr>
        <w:tc>
          <w:tcPr>
            <w:tcW w:w="1276" w:type="dxa"/>
            <w:vMerge/>
            <w:tcBorders>
              <w:top w:val="nil"/>
            </w:tcBorders>
          </w:tcPr>
          <w:p w14:paraId="5EC53387"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6D0B6EBC"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9</w:t>
            </w:r>
          </w:p>
        </w:tc>
        <w:tc>
          <w:tcPr>
            <w:tcW w:w="6237" w:type="dxa"/>
          </w:tcPr>
          <w:p w14:paraId="6AA415C2" w14:textId="41C680DC"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w w:val="95"/>
                <w:sz w:val="26"/>
                <w:lang w:eastAsia="zh-TW"/>
              </w:rPr>
              <w:t>若需</w:t>
            </w:r>
            <w:r w:rsidRPr="00AB05DA">
              <w:rPr>
                <w:rFonts w:ascii="標楷體" w:eastAsia="標楷體" w:hAnsi="標楷體"/>
                <w:color w:val="000000" w:themeColor="text1"/>
                <w:sz w:val="26"/>
                <w:lang w:eastAsia="zh-TW"/>
              </w:rPr>
              <w:t>恢復</w:t>
            </w:r>
            <w:r w:rsidRPr="00AB05DA">
              <w:rPr>
                <w:rFonts w:ascii="標楷體" w:eastAsia="標楷體" w:hAnsi="標楷體"/>
                <w:color w:val="000000" w:themeColor="text1"/>
                <w:w w:val="95"/>
                <w:sz w:val="26"/>
                <w:lang w:eastAsia="zh-TW"/>
              </w:rPr>
              <w:t>或整新球場面層：球場基礎面層</w:t>
            </w:r>
            <w:r w:rsidRPr="00AB05DA">
              <w:rPr>
                <w:rFonts w:ascii="標楷體" w:eastAsia="標楷體" w:hAnsi="標楷體"/>
                <w:color w:val="000000" w:themeColor="text1"/>
                <w:sz w:val="26"/>
                <w:lang w:eastAsia="zh-TW"/>
              </w:rPr>
              <w:t>建議</w:t>
            </w:r>
            <w:r w:rsidRPr="00AB05DA">
              <w:rPr>
                <w:rFonts w:ascii="標楷體" w:eastAsia="標楷體" w:hAnsi="標楷體"/>
                <w:color w:val="000000" w:themeColor="text1"/>
                <w:w w:val="95"/>
                <w:sz w:val="26"/>
                <w:lang w:eastAsia="zh-TW"/>
              </w:rPr>
              <w:t>塗</w:t>
            </w:r>
            <w:r w:rsidRPr="00AB05DA">
              <w:rPr>
                <w:rFonts w:ascii="標楷體" w:eastAsia="標楷體" w:hAnsi="標楷體"/>
                <w:color w:val="000000" w:themeColor="text1"/>
                <w:sz w:val="26"/>
                <w:lang w:eastAsia="zh-TW"/>
              </w:rPr>
              <w:t>佈潮濕時仍具止滑度之壓克力面材。</w:t>
            </w:r>
          </w:p>
        </w:tc>
        <w:tc>
          <w:tcPr>
            <w:tcW w:w="850" w:type="dxa"/>
            <w:vAlign w:val="center"/>
          </w:tcPr>
          <w:p w14:paraId="33E3B03C" w14:textId="51075786"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0ECB1D5" w14:textId="21B597C2" w:rsidR="00830524" w:rsidRPr="00AB05DA" w:rsidRDefault="00830524" w:rsidP="002238A4">
            <w:pPr>
              <w:pStyle w:val="TableParagraph"/>
              <w:spacing w:line="319"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36F0F85"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21EAAA7E" w14:textId="77777777" w:rsidTr="001F0D40">
        <w:trPr>
          <w:trHeight w:val="1022"/>
        </w:trPr>
        <w:tc>
          <w:tcPr>
            <w:tcW w:w="1276" w:type="dxa"/>
            <w:vMerge/>
            <w:tcBorders>
              <w:top w:val="nil"/>
            </w:tcBorders>
          </w:tcPr>
          <w:p w14:paraId="065E4EC8"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22B86D23" w14:textId="77777777" w:rsidR="00830524" w:rsidRPr="00AB05DA" w:rsidRDefault="00830524" w:rsidP="002238A4">
            <w:pPr>
              <w:pStyle w:val="TableParagraph"/>
              <w:spacing w:before="5"/>
              <w:ind w:left="344" w:right="327"/>
              <w:jc w:val="center"/>
              <w:rPr>
                <w:rFonts w:ascii="標楷體" w:eastAsia="標楷體" w:hAnsi="標楷體"/>
                <w:color w:val="000000" w:themeColor="text1"/>
                <w:sz w:val="26"/>
              </w:rPr>
            </w:pPr>
            <w:r w:rsidRPr="00AB05DA">
              <w:rPr>
                <w:rFonts w:ascii="標楷體" w:eastAsia="標楷體" w:hAnsi="標楷體"/>
                <w:color w:val="000000" w:themeColor="text1"/>
                <w:sz w:val="26"/>
              </w:rPr>
              <w:t>10</w:t>
            </w:r>
          </w:p>
        </w:tc>
        <w:tc>
          <w:tcPr>
            <w:tcW w:w="6237" w:type="dxa"/>
          </w:tcPr>
          <w:p w14:paraId="58A92A06" w14:textId="5EF8F3DF"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若需恢復或整新球場面層：運動面層材料泡水後極易損壞，規劃運動場地區域排水應充分考慮下雨後，不應發生積水狀況。</w:t>
            </w:r>
          </w:p>
        </w:tc>
        <w:tc>
          <w:tcPr>
            <w:tcW w:w="850" w:type="dxa"/>
            <w:vAlign w:val="center"/>
          </w:tcPr>
          <w:p w14:paraId="6CBE0CA8" w14:textId="4E8BAC6A"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1F87920" w14:textId="5F624E86"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444B9046"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0173D455" w14:textId="77777777" w:rsidTr="001F0D40">
        <w:trPr>
          <w:trHeight w:val="1019"/>
        </w:trPr>
        <w:tc>
          <w:tcPr>
            <w:tcW w:w="1276" w:type="dxa"/>
            <w:vMerge/>
            <w:tcBorders>
              <w:top w:val="nil"/>
            </w:tcBorders>
          </w:tcPr>
          <w:p w14:paraId="429B6E2D"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7A20E0AA" w14:textId="51626757" w:rsidR="00830524" w:rsidRPr="00AB05DA" w:rsidRDefault="00830524" w:rsidP="002238A4">
            <w:pPr>
              <w:pStyle w:val="TableParagraph"/>
              <w:spacing w:before="12"/>
              <w:ind w:left="4"/>
              <w:jc w:val="center"/>
              <w:rPr>
                <w:rFonts w:ascii="標楷體" w:eastAsia="標楷體" w:hAnsi="標楷體"/>
                <w:color w:val="000000" w:themeColor="text1"/>
                <w:sz w:val="26"/>
              </w:rPr>
            </w:pPr>
            <w:r w:rsidRPr="00AB05DA">
              <w:rPr>
                <w:rFonts w:ascii="標楷體" w:eastAsia="標楷體" w:hAnsi="標楷體"/>
                <w:color w:val="000000" w:themeColor="text1"/>
                <w:sz w:val="26"/>
              </w:rPr>
              <w:t>11</w:t>
            </w:r>
          </w:p>
        </w:tc>
        <w:tc>
          <w:tcPr>
            <w:tcW w:w="6237" w:type="dxa"/>
          </w:tcPr>
          <w:p w14:paraId="5A57CDE5" w14:textId="77777777"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若需恢復或整新球場面層：運動面層施作完成面不低於排水溝高度，避免局部積水，又運動面層洩</w:t>
            </w:r>
          </w:p>
          <w:p w14:paraId="7582B902" w14:textId="4BEE085B" w:rsidR="00830524" w:rsidRPr="00AB05DA" w:rsidRDefault="00830524" w:rsidP="00A37E91">
            <w:pPr>
              <w:pStyle w:val="TableParagraph"/>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水坡度一般設計上限為1%坡度。</w:t>
            </w:r>
          </w:p>
        </w:tc>
        <w:tc>
          <w:tcPr>
            <w:tcW w:w="850" w:type="dxa"/>
            <w:vAlign w:val="center"/>
          </w:tcPr>
          <w:p w14:paraId="3300745E" w14:textId="596B59B9"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37D10B1" w14:textId="065DEF65"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FF62845"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766C5505" w14:textId="77777777" w:rsidTr="001F0D40">
        <w:trPr>
          <w:trHeight w:val="791"/>
        </w:trPr>
        <w:tc>
          <w:tcPr>
            <w:tcW w:w="1276" w:type="dxa"/>
            <w:vMerge/>
            <w:tcBorders>
              <w:top w:val="nil"/>
            </w:tcBorders>
          </w:tcPr>
          <w:p w14:paraId="53A57E9E"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4437CDCF" w14:textId="77777777" w:rsidR="00830524" w:rsidRPr="00AB05DA" w:rsidRDefault="00830524" w:rsidP="002238A4">
            <w:pPr>
              <w:pStyle w:val="TableParagraph"/>
              <w:ind w:left="344" w:right="327"/>
              <w:jc w:val="center"/>
              <w:rPr>
                <w:rFonts w:ascii="標楷體" w:eastAsia="標楷體" w:hAnsi="標楷體"/>
                <w:color w:val="000000" w:themeColor="text1"/>
                <w:sz w:val="26"/>
              </w:rPr>
            </w:pPr>
            <w:r w:rsidRPr="00AB05DA">
              <w:rPr>
                <w:rFonts w:ascii="標楷體" w:eastAsia="標楷體" w:hAnsi="標楷體"/>
                <w:color w:val="000000" w:themeColor="text1"/>
                <w:sz w:val="26"/>
              </w:rPr>
              <w:t>12</w:t>
            </w:r>
          </w:p>
        </w:tc>
        <w:tc>
          <w:tcPr>
            <w:tcW w:w="6237" w:type="dxa"/>
          </w:tcPr>
          <w:p w14:paraId="2BDF515F" w14:textId="46A64DB6"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若需恢復或整新球場面層：基礎層應分層確實壓實，不能有波浪狀或海綿狀等。</w:t>
            </w:r>
          </w:p>
        </w:tc>
        <w:tc>
          <w:tcPr>
            <w:tcW w:w="850" w:type="dxa"/>
            <w:vAlign w:val="center"/>
          </w:tcPr>
          <w:p w14:paraId="314174D1" w14:textId="5CB5995B"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72B3E75" w14:textId="3DC92395" w:rsidR="00830524" w:rsidRPr="00AB05DA" w:rsidRDefault="00830524" w:rsidP="002238A4">
            <w:pPr>
              <w:pStyle w:val="TableParagraph"/>
              <w:spacing w:line="321"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1107E1C1"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2E3D7DF7" w14:textId="77777777" w:rsidTr="001F0D40">
        <w:trPr>
          <w:trHeight w:val="801"/>
        </w:trPr>
        <w:tc>
          <w:tcPr>
            <w:tcW w:w="1276" w:type="dxa"/>
          </w:tcPr>
          <w:p w14:paraId="35068B97" w14:textId="77777777" w:rsidR="00830524" w:rsidRPr="00AB05DA" w:rsidRDefault="00830524" w:rsidP="00D56569">
            <w:pPr>
              <w:pStyle w:val="TableParagraph"/>
              <w:rPr>
                <w:rFonts w:ascii="標楷體" w:eastAsia="標楷體" w:hAnsi="標楷體"/>
                <w:color w:val="000000" w:themeColor="text1"/>
                <w:sz w:val="24"/>
              </w:rPr>
            </w:pPr>
          </w:p>
        </w:tc>
        <w:tc>
          <w:tcPr>
            <w:tcW w:w="709" w:type="dxa"/>
            <w:vAlign w:val="center"/>
          </w:tcPr>
          <w:p w14:paraId="65FD3DF0"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1</w:t>
            </w:r>
          </w:p>
        </w:tc>
        <w:tc>
          <w:tcPr>
            <w:tcW w:w="6237" w:type="dxa"/>
          </w:tcPr>
          <w:p w14:paraId="3F3E1899" w14:textId="27462C4D"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屋架結構：採韌性抗彎矩構架系統為地上1層鋼骨構造物。</w:t>
            </w:r>
          </w:p>
        </w:tc>
        <w:tc>
          <w:tcPr>
            <w:tcW w:w="850" w:type="dxa"/>
            <w:vAlign w:val="center"/>
          </w:tcPr>
          <w:p w14:paraId="4C427B73" w14:textId="6866D7B4"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D86CAC3" w14:textId="4C6E06A8" w:rsidR="00830524" w:rsidRPr="00AB05DA" w:rsidRDefault="00830524" w:rsidP="002238A4">
            <w:pPr>
              <w:pStyle w:val="TableParagraph"/>
              <w:spacing w:line="321"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71D6878"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29B134D6" w14:textId="77777777" w:rsidTr="001F0D40">
        <w:trPr>
          <w:trHeight w:val="796"/>
        </w:trPr>
        <w:tc>
          <w:tcPr>
            <w:tcW w:w="1276" w:type="dxa"/>
            <w:vMerge w:val="restart"/>
            <w:vAlign w:val="center"/>
          </w:tcPr>
          <w:p w14:paraId="3BAB86D7" w14:textId="1720C9EF" w:rsidR="004C5121" w:rsidRPr="00AB05DA" w:rsidRDefault="004C5121" w:rsidP="006B43FF">
            <w:pPr>
              <w:pStyle w:val="TableParagraph"/>
              <w:jc w:val="both"/>
              <w:rPr>
                <w:rFonts w:ascii="標楷體" w:eastAsia="標楷體" w:hAnsi="標楷體"/>
                <w:color w:val="000000" w:themeColor="text1"/>
                <w:sz w:val="26"/>
              </w:rPr>
            </w:pPr>
            <w:r w:rsidRPr="00AB05DA">
              <w:rPr>
                <w:rFonts w:ascii="標楷體" w:eastAsia="標楷體" w:hAnsi="標楷體"/>
                <w:color w:val="000000" w:themeColor="text1"/>
                <w:w w:val="95"/>
                <w:sz w:val="26"/>
              </w:rPr>
              <w:lastRenderedPageBreak/>
              <w:t>結構系統與組件設</w:t>
            </w:r>
            <w:r w:rsidRPr="00AB05DA">
              <w:rPr>
                <w:rFonts w:ascii="標楷體" w:eastAsia="標楷體" w:hAnsi="標楷體"/>
                <w:color w:val="000000" w:themeColor="text1"/>
                <w:sz w:val="26"/>
              </w:rPr>
              <w:t>計</w:t>
            </w:r>
          </w:p>
        </w:tc>
        <w:tc>
          <w:tcPr>
            <w:tcW w:w="709" w:type="dxa"/>
            <w:vAlign w:val="center"/>
          </w:tcPr>
          <w:p w14:paraId="1BF0E74F"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2</w:t>
            </w:r>
          </w:p>
        </w:tc>
        <w:tc>
          <w:tcPr>
            <w:tcW w:w="6237" w:type="dxa"/>
          </w:tcPr>
          <w:p w14:paraId="03E689A2" w14:textId="426CB96E" w:rsidR="004C5121" w:rsidRPr="00AB05DA" w:rsidRDefault="004C5121" w:rsidP="001241BC">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風雨球場結構以鋼構為主，亦可採用RC柱結合鋼構支柱。</w:t>
            </w:r>
          </w:p>
        </w:tc>
        <w:tc>
          <w:tcPr>
            <w:tcW w:w="850" w:type="dxa"/>
            <w:vAlign w:val="center"/>
          </w:tcPr>
          <w:p w14:paraId="4DAC5902" w14:textId="77777777"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E3ACDB7" w14:textId="67DF824F"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70F2B25B"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6938C47D" w14:textId="77777777" w:rsidTr="001F0D40">
        <w:trPr>
          <w:trHeight w:val="575"/>
        </w:trPr>
        <w:tc>
          <w:tcPr>
            <w:tcW w:w="1276" w:type="dxa"/>
            <w:vMerge/>
            <w:vAlign w:val="center"/>
          </w:tcPr>
          <w:p w14:paraId="3B07C8F2" w14:textId="747DC17B"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3CEDF97C"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3</w:t>
            </w:r>
          </w:p>
        </w:tc>
        <w:tc>
          <w:tcPr>
            <w:tcW w:w="6237" w:type="dxa"/>
          </w:tcPr>
          <w:p w14:paraId="6DF494A3" w14:textId="601294FD" w:rsidR="004C5121" w:rsidRPr="00AB05DA" w:rsidRDefault="004C5121" w:rsidP="00D56569">
            <w:pPr>
              <w:pStyle w:val="TableParagraph"/>
              <w:spacing w:before="3"/>
              <w:ind w:left="113"/>
              <w:rPr>
                <w:rFonts w:ascii="標楷體" w:eastAsia="標楷體" w:hAnsi="標楷體"/>
                <w:color w:val="000000" w:themeColor="text1"/>
                <w:sz w:val="26"/>
                <w:lang w:eastAsia="zh-TW"/>
              </w:rPr>
            </w:pPr>
            <w:r w:rsidRPr="00AB05DA">
              <w:rPr>
                <w:rFonts w:ascii="標楷體" w:eastAsia="標楷體" w:hAnsi="標楷體"/>
                <w:color w:val="000000" w:themeColor="text1"/>
                <w:w w:val="90"/>
                <w:sz w:val="26"/>
                <w:lang w:eastAsia="zh-TW"/>
              </w:rPr>
              <w:t>基礎型式得採獨立基腳。</w:t>
            </w:r>
          </w:p>
        </w:tc>
        <w:tc>
          <w:tcPr>
            <w:tcW w:w="850" w:type="dxa"/>
            <w:vAlign w:val="center"/>
          </w:tcPr>
          <w:p w14:paraId="66EB9C6B" w14:textId="77777777"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AF71372" w14:textId="77DCA543"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3B1DB59"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778DF711" w14:textId="77777777" w:rsidTr="001F0D40">
        <w:trPr>
          <w:trHeight w:val="685"/>
        </w:trPr>
        <w:tc>
          <w:tcPr>
            <w:tcW w:w="1276" w:type="dxa"/>
            <w:vMerge/>
            <w:vAlign w:val="center"/>
          </w:tcPr>
          <w:p w14:paraId="0EB8B21E" w14:textId="619C3E06"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24A91037"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4</w:t>
            </w:r>
          </w:p>
        </w:tc>
        <w:tc>
          <w:tcPr>
            <w:tcW w:w="6237" w:type="dxa"/>
          </w:tcPr>
          <w:p w14:paraId="04DFCBE0" w14:textId="01966C36" w:rsidR="004C5121" w:rsidRPr="00AB05DA" w:rsidRDefault="004C5121" w:rsidP="001241BC">
            <w:pPr>
              <w:pStyle w:val="TableParagraph"/>
              <w:kinsoku w:val="0"/>
              <w:ind w:left="113" w:right="113"/>
              <w:rPr>
                <w:rFonts w:ascii="標楷體" w:eastAsia="標楷體" w:hAnsi="標楷體"/>
                <w:color w:val="000000" w:themeColor="text1"/>
                <w:sz w:val="2"/>
                <w:lang w:eastAsia="zh-TW"/>
              </w:rPr>
            </w:pPr>
            <w:r w:rsidRPr="00AB05DA">
              <w:rPr>
                <w:rFonts w:ascii="標楷體" w:eastAsia="標楷體" w:hAnsi="標楷體"/>
                <w:color w:val="000000" w:themeColor="text1"/>
                <w:sz w:val="26"/>
                <w:lang w:eastAsia="zh-TW"/>
              </w:rPr>
              <w:t>基礎底面應先鋪設高度至少10公分的墊底混凝土（fc’</w:t>
            </w:r>
            <w:r w:rsidRPr="00AB05DA">
              <w:rPr>
                <w:rFonts w:ascii="標楷體" w:eastAsia="標楷體" w:hAnsi="標楷體" w:hint="eastAsia"/>
                <w:color w:val="000000" w:themeColor="text1"/>
                <w:sz w:val="26"/>
                <w:lang w:eastAsia="zh-TW"/>
              </w:rPr>
              <w:t>≧</w:t>
            </w:r>
            <w:r w:rsidRPr="00AB05DA">
              <w:rPr>
                <w:rFonts w:ascii="標楷體" w:eastAsia="標楷體" w:hAnsi="標楷體"/>
                <w:color w:val="000000" w:themeColor="text1"/>
                <w:sz w:val="26"/>
                <w:lang w:eastAsia="zh-TW"/>
              </w:rPr>
              <w:t>140kgf/cm2）後方可進行放樣及基礎版工。</w:t>
            </w:r>
          </w:p>
        </w:tc>
        <w:tc>
          <w:tcPr>
            <w:tcW w:w="850" w:type="dxa"/>
            <w:vAlign w:val="center"/>
          </w:tcPr>
          <w:p w14:paraId="42C7DD8D" w14:textId="6264FD1D"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89D0534" w14:textId="574F1A79"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ADD518A"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20C560E5" w14:textId="77777777" w:rsidTr="001F0D40">
        <w:trPr>
          <w:trHeight w:val="3138"/>
        </w:trPr>
        <w:tc>
          <w:tcPr>
            <w:tcW w:w="1276" w:type="dxa"/>
            <w:vMerge/>
            <w:vAlign w:val="center"/>
          </w:tcPr>
          <w:p w14:paraId="4929BDB6" w14:textId="79E363EB"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1FC00EA0"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5</w:t>
            </w:r>
          </w:p>
        </w:tc>
        <w:tc>
          <w:tcPr>
            <w:tcW w:w="6237" w:type="dxa"/>
          </w:tcPr>
          <w:p w14:paraId="25FDD450" w14:textId="5F5B5150" w:rsidR="004C5121" w:rsidRPr="00AB05DA" w:rsidRDefault="004C5121" w:rsidP="001241BC">
            <w:pPr>
              <w:pStyle w:val="TableParagraph"/>
              <w:kinsoku w:val="0"/>
              <w:ind w:left="113" w:right="113"/>
              <w:rPr>
                <w:rFonts w:ascii="標楷體" w:eastAsia="標楷體" w:hAnsi="標楷體"/>
                <w:color w:val="000000" w:themeColor="text1"/>
                <w:sz w:val="2"/>
                <w:lang w:eastAsia="zh-TW"/>
              </w:rPr>
            </w:pPr>
            <w:r w:rsidRPr="00AB05DA">
              <w:rPr>
                <w:rFonts w:ascii="標楷體" w:eastAsia="標楷體" w:hAnsi="標楷體"/>
                <w:color w:val="000000" w:themeColor="text1"/>
                <w:spacing w:val="48"/>
                <w:w w:val="95"/>
                <w:sz w:val="26"/>
                <w:lang w:eastAsia="zh-TW"/>
              </w:rPr>
              <w:t>結</w:t>
            </w:r>
            <w:r w:rsidRPr="00AB05DA">
              <w:rPr>
                <w:rFonts w:ascii="標楷體" w:eastAsia="標楷體" w:hAnsi="標楷體"/>
                <w:color w:val="000000" w:themeColor="text1"/>
                <w:sz w:val="26"/>
                <w:lang w:eastAsia="zh-TW"/>
              </w:rPr>
              <w:t>構設計應符合「建築物耐風設計規範及解說」之規定，惟依據「國有公用不動產設置太陽 光電發電設備租賃契約書」訂定基本設計風速在32.5 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w:t>
            </w:r>
          </w:p>
        </w:tc>
        <w:tc>
          <w:tcPr>
            <w:tcW w:w="850" w:type="dxa"/>
            <w:vAlign w:val="center"/>
          </w:tcPr>
          <w:p w14:paraId="348F90B6" w14:textId="5CBA034C"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02AF6AB7" w14:textId="671D599E"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1E9DA4BB"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411B3BF7" w14:textId="77777777" w:rsidTr="001F0D40">
        <w:trPr>
          <w:trHeight w:val="1739"/>
        </w:trPr>
        <w:tc>
          <w:tcPr>
            <w:tcW w:w="1276" w:type="dxa"/>
            <w:vMerge/>
          </w:tcPr>
          <w:p w14:paraId="481BC2F4" w14:textId="61FC022F"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13908130"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6</w:t>
            </w:r>
          </w:p>
        </w:tc>
        <w:tc>
          <w:tcPr>
            <w:tcW w:w="6237" w:type="dxa"/>
          </w:tcPr>
          <w:p w14:paraId="29B8BEFE" w14:textId="266CB654" w:rsidR="004C5121" w:rsidRPr="00AB05DA" w:rsidRDefault="004C5121" w:rsidP="0014757F">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結構設計應依建築物耐風設計規範進行設計與檢核，其中用途係數（I），採I=1.1（含）以上、陣風反應因子（G），應先進行整體結構系統自然振動頻率分析，而決定陣風反應因子（G）值，但至少採G=1.88（含）作為設計與計算基礎。</w:t>
            </w:r>
          </w:p>
        </w:tc>
        <w:tc>
          <w:tcPr>
            <w:tcW w:w="850" w:type="dxa"/>
            <w:vAlign w:val="center"/>
          </w:tcPr>
          <w:p w14:paraId="49859D43" w14:textId="5C9DB166"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5EEF56C" w14:textId="28AB6C39" w:rsidR="004C5121" w:rsidRPr="00AB05DA" w:rsidRDefault="004C5121" w:rsidP="0014757F">
            <w:pPr>
              <w:pStyle w:val="TableParagraph"/>
              <w:spacing w:before="76"/>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B4A0128"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0FFCFA4E" w14:textId="77777777" w:rsidTr="001F0D40">
        <w:trPr>
          <w:trHeight w:val="1034"/>
        </w:trPr>
        <w:tc>
          <w:tcPr>
            <w:tcW w:w="1276" w:type="dxa"/>
            <w:vMerge/>
          </w:tcPr>
          <w:p w14:paraId="195814B3" w14:textId="77777777" w:rsidR="004C5121" w:rsidRPr="00AB05DA" w:rsidRDefault="004C5121" w:rsidP="00D56569">
            <w:pPr>
              <w:pStyle w:val="TableParagraph"/>
              <w:rPr>
                <w:rFonts w:ascii="標楷體" w:eastAsia="標楷體" w:hAnsi="標楷體"/>
                <w:color w:val="000000" w:themeColor="text1"/>
                <w:sz w:val="24"/>
              </w:rPr>
            </w:pPr>
          </w:p>
        </w:tc>
        <w:tc>
          <w:tcPr>
            <w:tcW w:w="709" w:type="dxa"/>
            <w:vAlign w:val="center"/>
          </w:tcPr>
          <w:p w14:paraId="4E0577A3" w14:textId="77777777" w:rsidR="004C5121" w:rsidRPr="00AB05DA" w:rsidRDefault="004C5121" w:rsidP="0014757F">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7</w:t>
            </w:r>
          </w:p>
        </w:tc>
        <w:tc>
          <w:tcPr>
            <w:tcW w:w="6237" w:type="dxa"/>
          </w:tcPr>
          <w:p w14:paraId="42CB8EDE" w14:textId="538FAF01" w:rsidR="004C5121" w:rsidRPr="00AB05DA" w:rsidRDefault="004C5121" w:rsidP="0014757F">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結構設計應符合「建築物耐震設計規範及解說」之規定，其中用途係數（I），採I=1.25（含）以上作為設計與計算基礎</w:t>
            </w:r>
          </w:p>
        </w:tc>
        <w:tc>
          <w:tcPr>
            <w:tcW w:w="850" w:type="dxa"/>
            <w:vAlign w:val="center"/>
          </w:tcPr>
          <w:p w14:paraId="1634AEA5" w14:textId="38DFE6FE"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E1CBB2A" w14:textId="00AD7C2A"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F45488C"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733165FA" w14:textId="77777777" w:rsidTr="001F0D40">
        <w:trPr>
          <w:trHeight w:val="1100"/>
        </w:trPr>
        <w:tc>
          <w:tcPr>
            <w:tcW w:w="1276" w:type="dxa"/>
            <w:vMerge/>
          </w:tcPr>
          <w:p w14:paraId="771B34D6" w14:textId="77777777" w:rsidR="004C5121" w:rsidRPr="00AB05DA" w:rsidRDefault="004C5121" w:rsidP="00D56569">
            <w:pPr>
              <w:pStyle w:val="TableParagraph"/>
              <w:rPr>
                <w:rFonts w:ascii="標楷體" w:eastAsia="標楷體" w:hAnsi="標楷體"/>
                <w:color w:val="000000" w:themeColor="text1"/>
                <w:sz w:val="24"/>
              </w:rPr>
            </w:pPr>
          </w:p>
        </w:tc>
        <w:tc>
          <w:tcPr>
            <w:tcW w:w="709" w:type="dxa"/>
            <w:tcBorders>
              <w:bottom w:val="single" w:sz="4" w:space="0" w:color="000000"/>
            </w:tcBorders>
            <w:vAlign w:val="center"/>
          </w:tcPr>
          <w:p w14:paraId="5B5295E5" w14:textId="77777777" w:rsidR="004C5121" w:rsidRPr="00AB05DA" w:rsidRDefault="004C5121" w:rsidP="0014757F">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8</w:t>
            </w:r>
          </w:p>
        </w:tc>
        <w:tc>
          <w:tcPr>
            <w:tcW w:w="6237" w:type="dxa"/>
            <w:tcBorders>
              <w:bottom w:val="single" w:sz="4" w:space="0" w:color="000000"/>
            </w:tcBorders>
          </w:tcPr>
          <w:p w14:paraId="0A4D679C" w14:textId="704E4302" w:rsidR="004C5121" w:rsidRPr="00AB05DA" w:rsidRDefault="004C5121" w:rsidP="0014757F">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螺絲組（包含螺絲、螺帽、平華司與彈簧華司等）應為同一材質，可為熱浸鍍鋅或電鍍鋅材質或不銹鋼材質等抗腐蝕材質，並取得抗腐蝕品質測試報告</w:t>
            </w:r>
          </w:p>
        </w:tc>
        <w:tc>
          <w:tcPr>
            <w:tcW w:w="850" w:type="dxa"/>
            <w:tcBorders>
              <w:bottom w:val="single" w:sz="4" w:space="0" w:color="000000"/>
            </w:tcBorders>
            <w:vAlign w:val="center"/>
          </w:tcPr>
          <w:p w14:paraId="64D75EEB" w14:textId="38CC9785"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5614260" w14:textId="1BDD9FB6"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Borders>
              <w:bottom w:val="single" w:sz="4" w:space="0" w:color="000000"/>
            </w:tcBorders>
          </w:tcPr>
          <w:p w14:paraId="6F3C3104"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78205837" w14:textId="77777777" w:rsidTr="001F0D40">
        <w:trPr>
          <w:trHeight w:val="1414"/>
        </w:trPr>
        <w:tc>
          <w:tcPr>
            <w:tcW w:w="1276" w:type="dxa"/>
            <w:vMerge/>
          </w:tcPr>
          <w:p w14:paraId="564577B4" w14:textId="77777777" w:rsidR="004C5121" w:rsidRPr="00AB05DA" w:rsidRDefault="004C5121" w:rsidP="00D56569">
            <w:pPr>
              <w:pStyle w:val="TableParagraph"/>
              <w:rPr>
                <w:rFonts w:ascii="標楷體" w:eastAsia="標楷體" w:hAnsi="標楷體"/>
                <w:color w:val="000000" w:themeColor="text1"/>
                <w:sz w:val="24"/>
              </w:rPr>
            </w:pPr>
          </w:p>
        </w:tc>
        <w:tc>
          <w:tcPr>
            <w:tcW w:w="709" w:type="dxa"/>
            <w:vAlign w:val="center"/>
          </w:tcPr>
          <w:p w14:paraId="363C6E82" w14:textId="77777777" w:rsidR="004C5121" w:rsidRPr="00AB05DA" w:rsidRDefault="004C5121" w:rsidP="00211943">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9</w:t>
            </w:r>
          </w:p>
        </w:tc>
        <w:tc>
          <w:tcPr>
            <w:tcW w:w="6237" w:type="dxa"/>
          </w:tcPr>
          <w:p w14:paraId="4768545B" w14:textId="33F0B0EE" w:rsidR="004C5121" w:rsidRPr="00AB05DA" w:rsidRDefault="004C5121" w:rsidP="00B54F6D">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每一構件連結螺絲組應包含高抗腐蝕螺絲、至少1片彈簧華司、至少2片平板華司、至少2個抗腐蝕六角螺帽或至少1個抗腐蝕六角螺帽以及於六角螺帽上再套上1個抗腐蝕六角蓋型螺帽</w:t>
            </w:r>
          </w:p>
        </w:tc>
        <w:tc>
          <w:tcPr>
            <w:tcW w:w="850" w:type="dxa"/>
            <w:vAlign w:val="center"/>
          </w:tcPr>
          <w:p w14:paraId="26ED54AA" w14:textId="11298CC5"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9D5D412" w14:textId="020A09E2"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1B35C056"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14450B7D" w14:textId="77777777" w:rsidTr="000F62D8">
        <w:trPr>
          <w:trHeight w:val="1356"/>
        </w:trPr>
        <w:tc>
          <w:tcPr>
            <w:tcW w:w="1276" w:type="dxa"/>
            <w:vMerge/>
            <w:tcBorders>
              <w:bottom w:val="single" w:sz="4" w:space="0" w:color="000000"/>
            </w:tcBorders>
          </w:tcPr>
          <w:p w14:paraId="3FD23EF9" w14:textId="77777777" w:rsidR="004C5121" w:rsidRPr="00AB05DA" w:rsidRDefault="004C5121" w:rsidP="00D56569">
            <w:pPr>
              <w:pStyle w:val="TableParagraph"/>
              <w:rPr>
                <w:rFonts w:ascii="標楷體" w:eastAsia="標楷體" w:hAnsi="標楷體"/>
                <w:color w:val="000000" w:themeColor="text1"/>
                <w:sz w:val="24"/>
                <w:lang w:eastAsia="zh-TW"/>
              </w:rPr>
            </w:pPr>
          </w:p>
        </w:tc>
        <w:tc>
          <w:tcPr>
            <w:tcW w:w="709" w:type="dxa"/>
            <w:tcBorders>
              <w:bottom w:val="single" w:sz="4" w:space="0" w:color="000000"/>
            </w:tcBorders>
            <w:vAlign w:val="center"/>
          </w:tcPr>
          <w:p w14:paraId="01F66159" w14:textId="078897B5" w:rsidR="004C5121" w:rsidRPr="00AB05DA" w:rsidRDefault="004C5121" w:rsidP="00211943">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10</w:t>
            </w:r>
          </w:p>
        </w:tc>
        <w:tc>
          <w:tcPr>
            <w:tcW w:w="6237" w:type="dxa"/>
            <w:tcBorders>
              <w:bottom w:val="single" w:sz="4" w:space="0" w:color="000000"/>
            </w:tcBorders>
          </w:tcPr>
          <w:p w14:paraId="64015258" w14:textId="48A16F85" w:rsidR="004C5121" w:rsidRPr="00AB05DA" w:rsidRDefault="004C5121" w:rsidP="002066F2">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所有螺栓組及扣件材質具抗防蝕能力，並取得耐久性防蝕之品質測試報告及保固保證。支撐架若採用鋁合金材質，螺栓、螺帽須為304或316不銹鋼材質。</w:t>
            </w:r>
          </w:p>
        </w:tc>
        <w:tc>
          <w:tcPr>
            <w:tcW w:w="850" w:type="dxa"/>
            <w:tcBorders>
              <w:bottom w:val="single" w:sz="4" w:space="0" w:color="000000"/>
            </w:tcBorders>
            <w:vAlign w:val="center"/>
          </w:tcPr>
          <w:p w14:paraId="01E8C292" w14:textId="36182959"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97D0D2A" w14:textId="57F7085B"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Borders>
              <w:bottom w:val="single" w:sz="4" w:space="0" w:color="000000"/>
            </w:tcBorders>
          </w:tcPr>
          <w:p w14:paraId="2D6EF1F5"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5DC71C15" w14:textId="77777777" w:rsidTr="000F62D8">
        <w:trPr>
          <w:trHeight w:val="2487"/>
        </w:trPr>
        <w:tc>
          <w:tcPr>
            <w:tcW w:w="1276" w:type="dxa"/>
            <w:vMerge/>
            <w:tcBorders>
              <w:bottom w:val="single" w:sz="4" w:space="0" w:color="000000"/>
            </w:tcBorders>
          </w:tcPr>
          <w:p w14:paraId="2E7553D0" w14:textId="77777777" w:rsidR="004C5121" w:rsidRPr="00AB05DA" w:rsidRDefault="004C5121" w:rsidP="00D56569">
            <w:pPr>
              <w:pStyle w:val="TableParagraph"/>
              <w:rPr>
                <w:rFonts w:ascii="標楷體" w:eastAsia="標楷體" w:hAnsi="標楷體"/>
                <w:color w:val="000000" w:themeColor="text1"/>
                <w:sz w:val="24"/>
              </w:rPr>
            </w:pPr>
          </w:p>
        </w:tc>
        <w:tc>
          <w:tcPr>
            <w:tcW w:w="709" w:type="dxa"/>
            <w:tcBorders>
              <w:bottom w:val="single" w:sz="4" w:space="0" w:color="000000"/>
            </w:tcBorders>
            <w:vAlign w:val="center"/>
          </w:tcPr>
          <w:p w14:paraId="32829306" w14:textId="77777777" w:rsidR="004C5121" w:rsidRPr="00AB05DA" w:rsidRDefault="004C5121" w:rsidP="00211943">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11</w:t>
            </w:r>
          </w:p>
        </w:tc>
        <w:tc>
          <w:tcPr>
            <w:tcW w:w="6237" w:type="dxa"/>
            <w:tcBorders>
              <w:bottom w:val="single" w:sz="4" w:space="0" w:color="000000"/>
            </w:tcBorders>
          </w:tcPr>
          <w:p w14:paraId="564F1E8D" w14:textId="115076B7" w:rsidR="004C5121" w:rsidRPr="00AB05DA" w:rsidRDefault="004C5121" w:rsidP="00B54F6D">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所有結構支撐系統安裝組立時，現場不得採電焊加工，全部採螺栓連結固定方式。模組鎖固螺栓</w:t>
            </w:r>
            <w:r w:rsidRPr="00AB05DA">
              <w:rPr>
                <w:rFonts w:ascii="標楷體" w:eastAsia="標楷體" w:hAnsi="標楷體"/>
                <w:color w:val="000000" w:themeColor="text1"/>
                <w:w w:val="90"/>
                <w:sz w:val="26"/>
                <w:lang w:eastAsia="zh-TW"/>
              </w:rPr>
              <w:t>須可辨識鎖固後之方向性，並於支撐架鎖固完成</w:t>
            </w:r>
            <w:r w:rsidRPr="00AB05DA">
              <w:rPr>
                <w:rFonts w:ascii="標楷體" w:eastAsia="標楷體" w:hAnsi="標楷體"/>
                <w:color w:val="000000" w:themeColor="text1"/>
                <w:w w:val="95"/>
                <w:sz w:val="26"/>
                <w:lang w:eastAsia="zh-TW"/>
              </w:rPr>
              <w:t>後，以不會褪色之油漆筆於螺栓之鎖固螺帽畫線</w:t>
            </w:r>
            <w:r w:rsidRPr="00AB05DA">
              <w:rPr>
                <w:rFonts w:ascii="標楷體" w:eastAsia="標楷體" w:hAnsi="標楷體"/>
                <w:color w:val="000000" w:themeColor="text1"/>
                <w:sz w:val="26"/>
                <w:lang w:eastAsia="zh-TW"/>
              </w:rPr>
              <w:t>做識別，以利日後之巡檢。</w:t>
            </w:r>
          </w:p>
        </w:tc>
        <w:tc>
          <w:tcPr>
            <w:tcW w:w="850" w:type="dxa"/>
            <w:tcBorders>
              <w:bottom w:val="single" w:sz="4" w:space="0" w:color="000000"/>
            </w:tcBorders>
            <w:vAlign w:val="center"/>
          </w:tcPr>
          <w:p w14:paraId="3453EB1A" w14:textId="74402DBC" w:rsidR="004C5121" w:rsidRPr="00AB05DA" w:rsidRDefault="004C5121"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26F2328" w14:textId="5D277F21" w:rsidR="004C5121" w:rsidRPr="00AB05DA" w:rsidRDefault="004C5121" w:rsidP="0063761D">
            <w:pPr>
              <w:pStyle w:val="TableParagraph"/>
              <w:spacing w:before="3"/>
              <w:jc w:val="center"/>
              <w:rPr>
                <w:rFonts w:ascii="標楷體" w:eastAsia="標楷體" w:hAnsi="標楷體"/>
                <w:color w:val="000000" w:themeColor="text1"/>
                <w:sz w:val="26"/>
              </w:rPr>
            </w:pPr>
            <w:r w:rsidRPr="00AB05DA">
              <w:rPr>
                <w:rFonts w:ascii="標楷體" w:eastAsia="標楷體" w:hAnsi="標楷體"/>
                <w:color w:val="000000" w:themeColor="text1"/>
                <w:w w:val="90"/>
                <w:sz w:val="26"/>
              </w:rPr>
              <w:t>□否</w:t>
            </w:r>
          </w:p>
        </w:tc>
        <w:tc>
          <w:tcPr>
            <w:tcW w:w="1276" w:type="dxa"/>
            <w:tcBorders>
              <w:bottom w:val="single" w:sz="4" w:space="0" w:color="000000"/>
            </w:tcBorders>
          </w:tcPr>
          <w:p w14:paraId="4CA47FC9"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5CE91596" w14:textId="77777777" w:rsidTr="007B077C">
        <w:trPr>
          <w:trHeight w:val="4840"/>
        </w:trPr>
        <w:tc>
          <w:tcPr>
            <w:tcW w:w="1276" w:type="dxa"/>
            <w:vMerge w:val="restart"/>
            <w:vAlign w:val="center"/>
          </w:tcPr>
          <w:p w14:paraId="04579B2E" w14:textId="12A23C77" w:rsidR="0063761D" w:rsidRPr="00AB05DA" w:rsidRDefault="0063761D" w:rsidP="0063761D">
            <w:pPr>
              <w:pStyle w:val="TableParagraph"/>
              <w:spacing w:before="106"/>
              <w:ind w:left="112"/>
              <w:jc w:val="both"/>
              <w:rPr>
                <w:rFonts w:ascii="標楷體" w:eastAsia="標楷體" w:hAnsi="標楷體"/>
                <w:color w:val="000000" w:themeColor="text1"/>
                <w:sz w:val="26"/>
                <w:lang w:eastAsia="zh-TW"/>
              </w:rPr>
            </w:pPr>
            <w:r w:rsidRPr="00AB05DA">
              <w:rPr>
                <w:rFonts w:ascii="標楷體" w:eastAsia="標楷體" w:hAnsi="標楷體"/>
                <w:color w:val="000000" w:themeColor="text1"/>
                <w:w w:val="95"/>
                <w:sz w:val="26"/>
                <w:lang w:eastAsia="zh-TW"/>
              </w:rPr>
              <w:lastRenderedPageBreak/>
              <w:t>支撐架金屬基材耐腐蝕性能</w:t>
            </w:r>
          </w:p>
        </w:tc>
        <w:tc>
          <w:tcPr>
            <w:tcW w:w="709" w:type="dxa"/>
            <w:vAlign w:val="center"/>
          </w:tcPr>
          <w:p w14:paraId="51B22411" w14:textId="17E4B3DD" w:rsidR="0063761D" w:rsidRPr="00AB05DA" w:rsidRDefault="0063761D" w:rsidP="0063761D">
            <w:pPr>
              <w:pStyle w:val="TableParagraph"/>
              <w:jc w:val="center"/>
              <w:rPr>
                <w:rFonts w:ascii="標楷體" w:eastAsia="標楷體" w:hAnsi="標楷體"/>
                <w:color w:val="000000" w:themeColor="text1"/>
                <w:sz w:val="26"/>
                <w:lang w:eastAsia="zh-TW"/>
              </w:rPr>
            </w:pPr>
            <w:r w:rsidRPr="00AB05DA">
              <w:rPr>
                <w:rFonts w:ascii="標楷體" w:eastAsia="標楷體" w:hAnsi="標楷體" w:hint="eastAsia"/>
                <w:color w:val="000000" w:themeColor="text1"/>
                <w:sz w:val="26"/>
                <w:szCs w:val="26"/>
                <w:lang w:eastAsia="zh-TW"/>
              </w:rPr>
              <w:t>1</w:t>
            </w:r>
          </w:p>
        </w:tc>
        <w:tc>
          <w:tcPr>
            <w:tcW w:w="6237" w:type="dxa"/>
          </w:tcPr>
          <w:p w14:paraId="3A1E937E" w14:textId="564EA71C" w:rsidR="0063761D" w:rsidRPr="00AB05DA" w:rsidRDefault="0063761D" w:rsidP="00D56569">
            <w:pPr>
              <w:pStyle w:val="TableParagraph"/>
              <w:spacing w:before="16"/>
              <w:ind w:left="113"/>
              <w:rPr>
                <w:rFonts w:ascii="標楷體" w:eastAsia="標楷體" w:hAnsi="標楷體"/>
                <w:color w:val="000000" w:themeColor="text1"/>
                <w:sz w:val="26"/>
                <w:lang w:eastAsia="zh-TW"/>
              </w:rPr>
            </w:pPr>
            <w:r w:rsidRPr="00AB05DA">
              <w:rPr>
                <w:rFonts w:ascii="標楷體" w:eastAsia="標楷體" w:hAnsi="標楷體"/>
                <w:color w:val="000000" w:themeColor="text1"/>
                <w:w w:val="90"/>
                <w:sz w:val="26"/>
                <w:lang w:eastAsia="zh-TW"/>
              </w:rPr>
              <w:t>支撐架表面處理的選擇，下列兩項處理方式：</w:t>
            </w:r>
          </w:p>
          <w:p w14:paraId="0A57F0D8" w14:textId="024EB7C2" w:rsidR="0063761D" w:rsidRPr="00AB05DA" w:rsidRDefault="0063761D" w:rsidP="00646967">
            <w:pPr>
              <w:pStyle w:val="TableParagraph"/>
              <w:numPr>
                <w:ilvl w:val="0"/>
                <w:numId w:val="3"/>
              </w:numPr>
              <w:tabs>
                <w:tab w:val="left" w:pos="398"/>
              </w:tabs>
              <w:spacing w:before="10" w:line="249" w:lineRule="auto"/>
              <w:ind w:right="389"/>
              <w:jc w:val="both"/>
              <w:rPr>
                <w:rFonts w:ascii="標楷體" w:eastAsia="標楷體" w:hAnsi="標楷體"/>
                <w:color w:val="000000" w:themeColor="text1"/>
                <w:sz w:val="26"/>
                <w:lang w:eastAsia="zh-TW"/>
              </w:rPr>
            </w:pPr>
            <w:r w:rsidRPr="00AB05DA">
              <w:rPr>
                <w:rFonts w:ascii="標楷體" w:eastAsia="標楷體" w:hAnsi="標楷體"/>
                <w:color w:val="000000" w:themeColor="text1"/>
                <w:spacing w:val="-5"/>
                <w:sz w:val="26"/>
                <w:lang w:eastAsia="zh-TW"/>
              </w:rPr>
              <w:t>鋼構基材表面處理，須以設置地點符合ISO 9223</w:t>
            </w:r>
            <w:r w:rsidRPr="00AB05DA">
              <w:rPr>
                <w:rFonts w:ascii="標楷體" w:eastAsia="標楷體" w:hAnsi="標楷體"/>
                <w:color w:val="000000" w:themeColor="text1"/>
                <w:spacing w:val="-62"/>
                <w:sz w:val="26"/>
                <w:lang w:eastAsia="zh-TW"/>
              </w:rPr>
              <w:t xml:space="preserve"> </w:t>
            </w:r>
            <w:r w:rsidRPr="00AB05DA">
              <w:rPr>
                <w:rFonts w:ascii="標楷體" w:eastAsia="標楷體" w:hAnsi="標楷體"/>
                <w:color w:val="000000" w:themeColor="text1"/>
                <w:spacing w:val="11"/>
                <w:w w:val="90"/>
                <w:sz w:val="26"/>
                <w:lang w:eastAsia="zh-TW"/>
              </w:rPr>
              <w:t>之腐蝕環境分類等級，且至少以中度腐蝕</w:t>
            </w:r>
            <w:r w:rsidRPr="00AB05DA">
              <w:rPr>
                <w:rFonts w:ascii="標楷體" w:eastAsia="標楷體" w:hAnsi="標楷體"/>
                <w:color w:val="000000" w:themeColor="text1"/>
                <w:w w:val="90"/>
                <w:sz w:val="26"/>
                <w:lang w:eastAsia="zh-TW"/>
              </w:rPr>
              <w:t>（ISO</w:t>
            </w:r>
            <w:r w:rsidRPr="00AB05DA">
              <w:rPr>
                <w:rFonts w:ascii="標楷體" w:eastAsia="標楷體" w:hAnsi="標楷體"/>
                <w:color w:val="000000" w:themeColor="text1"/>
                <w:sz w:val="26"/>
                <w:lang w:eastAsia="zh-TW"/>
              </w:rPr>
              <w:t>9223-C3）等級以上為處理基準，並以20年</w:t>
            </w:r>
            <w:r w:rsidRPr="00AB05DA">
              <w:rPr>
                <w:rFonts w:ascii="標楷體" w:eastAsia="標楷體" w:hAnsi="標楷體"/>
                <w:color w:val="000000" w:themeColor="text1"/>
                <w:w w:val="95"/>
                <w:sz w:val="26"/>
                <w:lang w:eastAsia="zh-TW"/>
              </w:rPr>
              <w:t>（含）以上抗腐蝕性能進行表面處理，並由專</w:t>
            </w:r>
            <w:r w:rsidRPr="00AB05DA">
              <w:rPr>
                <w:rFonts w:ascii="標楷體" w:eastAsia="標楷體" w:hAnsi="標楷體"/>
                <w:color w:val="000000" w:themeColor="text1"/>
                <w:sz w:val="26"/>
                <w:lang w:eastAsia="zh-TW"/>
              </w:rPr>
              <w:t>業機構提出施作說明與品質保證證明</w:t>
            </w:r>
          </w:p>
          <w:p w14:paraId="466B916C" w14:textId="4B497D06" w:rsidR="0063761D" w:rsidRPr="00AB05DA" w:rsidRDefault="0063761D" w:rsidP="007B077C">
            <w:pPr>
              <w:pStyle w:val="TableParagraph"/>
              <w:numPr>
                <w:ilvl w:val="0"/>
                <w:numId w:val="3"/>
              </w:numPr>
              <w:tabs>
                <w:tab w:val="left" w:pos="398"/>
              </w:tabs>
              <w:spacing w:before="10" w:line="249" w:lineRule="auto"/>
              <w:ind w:right="389"/>
              <w:jc w:val="both"/>
              <w:rPr>
                <w:rFonts w:ascii="標楷體" w:eastAsia="標楷體" w:hAnsi="標楷體"/>
                <w:color w:val="000000" w:themeColor="text1"/>
                <w:sz w:val="26"/>
                <w:lang w:eastAsia="zh-TW"/>
              </w:rPr>
            </w:pPr>
            <w:r w:rsidRPr="00AB05DA">
              <w:rPr>
                <w:rFonts w:ascii="標楷體" w:eastAsia="標楷體" w:hAnsi="標楷體"/>
                <w:color w:val="000000" w:themeColor="text1"/>
                <w:spacing w:val="7"/>
                <w:w w:val="95"/>
                <w:sz w:val="26"/>
                <w:lang w:eastAsia="zh-TW"/>
              </w:rPr>
              <w:t>鋁合金鋁擠型基材</w:t>
            </w:r>
            <w:r w:rsidRPr="00AB05DA">
              <w:rPr>
                <w:rFonts w:ascii="標楷體" w:eastAsia="標楷體" w:hAnsi="標楷體"/>
                <w:color w:val="000000" w:themeColor="text1"/>
                <w:w w:val="95"/>
                <w:sz w:val="26"/>
                <w:lang w:eastAsia="zh-TW"/>
              </w:rPr>
              <w:t>表面</w:t>
            </w:r>
            <w:r w:rsidRPr="00AB05DA">
              <w:rPr>
                <w:rFonts w:ascii="標楷體" w:eastAsia="標楷體" w:hAnsi="標楷體"/>
                <w:color w:val="000000" w:themeColor="text1"/>
                <w:spacing w:val="7"/>
                <w:w w:val="95"/>
                <w:sz w:val="26"/>
                <w:lang w:eastAsia="zh-TW"/>
              </w:rPr>
              <w:t>處理，其表面處理方式</w:t>
            </w:r>
            <w:r w:rsidRPr="00AB05DA">
              <w:rPr>
                <w:rFonts w:ascii="標楷體" w:eastAsia="標楷體" w:hAnsi="標楷體"/>
                <w:color w:val="000000" w:themeColor="text1"/>
                <w:spacing w:val="25"/>
                <w:sz w:val="26"/>
                <w:lang w:eastAsia="zh-TW"/>
              </w:rPr>
              <w:t xml:space="preserve">採陽極處理厚度 </w:t>
            </w:r>
            <w:r w:rsidRPr="00AB05DA">
              <w:rPr>
                <w:rFonts w:ascii="標楷體" w:eastAsia="標楷體" w:hAnsi="標楷體"/>
                <w:color w:val="000000" w:themeColor="text1"/>
                <w:sz w:val="26"/>
                <w:lang w:eastAsia="zh-TW"/>
              </w:rPr>
              <w:t>14µm</w:t>
            </w:r>
            <w:r w:rsidRPr="00AB05DA">
              <w:rPr>
                <w:rFonts w:ascii="標楷體" w:eastAsia="標楷體" w:hAnsi="標楷體"/>
                <w:color w:val="000000" w:themeColor="text1"/>
                <w:spacing w:val="103"/>
                <w:sz w:val="26"/>
                <w:lang w:eastAsia="zh-TW"/>
              </w:rPr>
              <w:t xml:space="preserve"> </w:t>
            </w:r>
            <w:r w:rsidRPr="00AB05DA">
              <w:rPr>
                <w:rFonts w:ascii="標楷體" w:eastAsia="標楷體" w:hAnsi="標楷體"/>
                <w:color w:val="000000" w:themeColor="text1"/>
                <w:spacing w:val="21"/>
                <w:sz w:val="26"/>
                <w:lang w:eastAsia="zh-TW"/>
              </w:rPr>
              <w:t>以上及外加一層膜</w:t>
            </w:r>
            <w:r w:rsidRPr="00AB05DA">
              <w:rPr>
                <w:rFonts w:ascii="標楷體" w:eastAsia="標楷體" w:hAnsi="標楷體"/>
                <w:color w:val="000000" w:themeColor="text1"/>
                <w:spacing w:val="24"/>
                <w:w w:val="95"/>
                <w:sz w:val="26"/>
                <w:lang w:eastAsia="zh-TW"/>
              </w:rPr>
              <w:t>厚</w:t>
            </w:r>
            <w:r w:rsidRPr="00AB05DA">
              <w:rPr>
                <w:rFonts w:ascii="標楷體" w:eastAsia="標楷體" w:hAnsi="標楷體"/>
                <w:color w:val="000000" w:themeColor="text1"/>
                <w:w w:val="95"/>
                <w:sz w:val="26"/>
                <w:lang w:eastAsia="zh-TW"/>
              </w:rPr>
              <w:t xml:space="preserve">7µm以上之壓克力透明漆之表面防蝕處理，除 </w:t>
            </w:r>
            <w:r w:rsidRPr="00AB05DA">
              <w:rPr>
                <w:rFonts w:ascii="標楷體" w:eastAsia="標楷體" w:hAnsi="標楷體"/>
                <w:color w:val="000000" w:themeColor="text1"/>
                <w:sz w:val="26"/>
                <w:lang w:eastAsia="zh-TW"/>
              </w:rPr>
              <w:t>鋁擠型構材外的鋁合金板、小配件等之表面處 理方式可為陽極處理厚度7µm以上及外加一層</w:t>
            </w:r>
            <w:r w:rsidRPr="00AB05DA">
              <w:rPr>
                <w:rFonts w:ascii="標楷體" w:eastAsia="標楷體" w:hAnsi="標楷體"/>
                <w:color w:val="000000" w:themeColor="text1"/>
                <w:spacing w:val="-1"/>
                <w:sz w:val="26"/>
                <w:lang w:eastAsia="zh-TW"/>
              </w:rPr>
              <w:t>膜厚7µm以上之壓克力透明漆，且皆需取得具有</w:t>
            </w:r>
            <w:r w:rsidRPr="00AB05DA">
              <w:rPr>
                <w:rFonts w:ascii="標楷體" w:eastAsia="標楷體" w:hAnsi="標楷體"/>
                <w:color w:val="000000" w:themeColor="text1"/>
                <w:sz w:val="26"/>
                <w:lang w:eastAsia="zh-TW"/>
              </w:rPr>
              <w:t>TAF認可之測試實驗室測試合格報告</w:t>
            </w:r>
          </w:p>
        </w:tc>
        <w:tc>
          <w:tcPr>
            <w:tcW w:w="850" w:type="dxa"/>
            <w:vAlign w:val="center"/>
          </w:tcPr>
          <w:p w14:paraId="71B1F18F" w14:textId="44E32A1F" w:rsidR="0063761D" w:rsidRPr="00AB05DA" w:rsidRDefault="0063761D"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7B6B6E6" w14:textId="59D3CC6A" w:rsidR="0063761D" w:rsidRPr="00AB05DA" w:rsidRDefault="0063761D"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7936727" w14:textId="77777777" w:rsidR="0063761D" w:rsidRPr="00AB05DA" w:rsidRDefault="0063761D" w:rsidP="00D56569">
            <w:pPr>
              <w:pStyle w:val="TableParagraph"/>
              <w:rPr>
                <w:rFonts w:ascii="標楷體" w:eastAsia="標楷體" w:hAnsi="標楷體"/>
                <w:color w:val="000000" w:themeColor="text1"/>
                <w:sz w:val="24"/>
                <w:lang w:eastAsia="zh-TW"/>
              </w:rPr>
            </w:pPr>
          </w:p>
        </w:tc>
      </w:tr>
      <w:tr w:rsidR="00AB05DA" w:rsidRPr="00AB05DA" w14:paraId="1E5F0D77" w14:textId="77777777" w:rsidTr="007B077C">
        <w:trPr>
          <w:trHeight w:val="1791"/>
        </w:trPr>
        <w:tc>
          <w:tcPr>
            <w:tcW w:w="1276" w:type="dxa"/>
            <w:vMerge/>
          </w:tcPr>
          <w:p w14:paraId="6283FCA9" w14:textId="77777777" w:rsidR="007B077C" w:rsidRPr="00AB05DA" w:rsidRDefault="007B077C" w:rsidP="00D56569">
            <w:pPr>
              <w:pStyle w:val="TableParagraph"/>
              <w:rPr>
                <w:rFonts w:ascii="標楷體" w:eastAsia="標楷體" w:hAnsi="標楷體"/>
                <w:color w:val="000000" w:themeColor="text1"/>
                <w:sz w:val="24"/>
              </w:rPr>
            </w:pPr>
          </w:p>
        </w:tc>
        <w:tc>
          <w:tcPr>
            <w:tcW w:w="709" w:type="dxa"/>
            <w:vAlign w:val="center"/>
          </w:tcPr>
          <w:p w14:paraId="49CD5964" w14:textId="65224240" w:rsidR="007B077C" w:rsidRPr="00AB05DA" w:rsidRDefault="007B077C" w:rsidP="007B077C">
            <w:pPr>
              <w:pStyle w:val="TableParagraph"/>
              <w:jc w:val="center"/>
              <w:rPr>
                <w:rFonts w:ascii="標楷體" w:eastAsia="標楷體" w:hAnsi="標楷體"/>
                <w:color w:val="000000" w:themeColor="text1"/>
                <w:sz w:val="26"/>
              </w:rPr>
            </w:pPr>
            <w:r w:rsidRPr="00AB05DA">
              <w:rPr>
                <w:rFonts w:ascii="標楷體" w:eastAsia="標楷體" w:hAnsi="標楷體" w:hint="eastAsia"/>
                <w:color w:val="000000" w:themeColor="text1"/>
                <w:sz w:val="26"/>
                <w:szCs w:val="26"/>
                <w:lang w:eastAsia="zh-TW"/>
              </w:rPr>
              <w:t>2</w:t>
            </w:r>
          </w:p>
        </w:tc>
        <w:tc>
          <w:tcPr>
            <w:tcW w:w="6237" w:type="dxa"/>
          </w:tcPr>
          <w:p w14:paraId="65EB1AAE" w14:textId="7186FBF3" w:rsidR="007B077C" w:rsidRPr="00AB05DA" w:rsidRDefault="007B077C" w:rsidP="007B077C">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依ISO 9224金屬材質的腐蝕速率進行防蝕設計，惟至少應以中度腐蝕（ISO 9223-C3）等級以上的腐蝕環境進行設計，由專業機構提出說明與品保證明，若縣市/學校處於C3腐蝕環境以上之等級，可參考臺灣腐蝕環境分類資訊系統/大氣腐蝕年報表，進行防腐蝕評估。</w:t>
            </w:r>
          </w:p>
        </w:tc>
        <w:tc>
          <w:tcPr>
            <w:tcW w:w="850" w:type="dxa"/>
            <w:vAlign w:val="center"/>
          </w:tcPr>
          <w:p w14:paraId="505ABED5" w14:textId="401F720D" w:rsidR="007B077C" w:rsidRPr="00AB05DA" w:rsidRDefault="007B077C"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457C4A0" w14:textId="11672F86" w:rsidR="007B077C" w:rsidRPr="00AB05DA" w:rsidRDefault="007B077C"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761F0065" w14:textId="77777777" w:rsidR="007B077C" w:rsidRPr="00AB05DA" w:rsidRDefault="007B077C" w:rsidP="00D56569">
            <w:pPr>
              <w:pStyle w:val="TableParagraph"/>
              <w:rPr>
                <w:rFonts w:ascii="標楷體" w:eastAsia="標楷體" w:hAnsi="標楷體"/>
                <w:color w:val="000000" w:themeColor="text1"/>
                <w:sz w:val="24"/>
              </w:rPr>
            </w:pPr>
          </w:p>
        </w:tc>
      </w:tr>
      <w:tr w:rsidR="00AB05DA" w:rsidRPr="00AB05DA" w14:paraId="2471E15E" w14:textId="77777777" w:rsidTr="007B077C">
        <w:trPr>
          <w:trHeight w:val="1041"/>
        </w:trPr>
        <w:tc>
          <w:tcPr>
            <w:tcW w:w="1276" w:type="dxa"/>
            <w:vMerge/>
          </w:tcPr>
          <w:p w14:paraId="4FE572D9" w14:textId="77777777" w:rsidR="007B077C" w:rsidRPr="00AB05DA" w:rsidRDefault="007B077C" w:rsidP="00D56569">
            <w:pPr>
              <w:pStyle w:val="TableParagraph"/>
              <w:rPr>
                <w:rFonts w:ascii="標楷體" w:eastAsia="標楷體" w:hAnsi="標楷體"/>
                <w:color w:val="000000" w:themeColor="text1"/>
                <w:sz w:val="24"/>
                <w:lang w:eastAsia="zh-TW"/>
              </w:rPr>
            </w:pPr>
          </w:p>
        </w:tc>
        <w:tc>
          <w:tcPr>
            <w:tcW w:w="709" w:type="dxa"/>
            <w:vAlign w:val="center"/>
          </w:tcPr>
          <w:p w14:paraId="4C86B17D" w14:textId="77777777" w:rsidR="007B077C" w:rsidRPr="00AB05DA" w:rsidRDefault="007B077C" w:rsidP="007B077C">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3</w:t>
            </w:r>
          </w:p>
        </w:tc>
        <w:tc>
          <w:tcPr>
            <w:tcW w:w="6237" w:type="dxa"/>
          </w:tcPr>
          <w:p w14:paraId="6653E1B9" w14:textId="707F5BD1" w:rsidR="007B077C" w:rsidRPr="00AB05DA" w:rsidRDefault="007B077C" w:rsidP="007B077C">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所有結構支撐系統材料皆需提供材質規格及出廠證明、表面防蝕處理施作說明、材質、規格與品質保證證明。</w:t>
            </w:r>
          </w:p>
        </w:tc>
        <w:tc>
          <w:tcPr>
            <w:tcW w:w="850" w:type="dxa"/>
            <w:vAlign w:val="center"/>
          </w:tcPr>
          <w:p w14:paraId="3B0763D4" w14:textId="06DA16E9"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58D8BE4" w14:textId="77AD9A65"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423C756E" w14:textId="77777777" w:rsidR="007B077C" w:rsidRPr="00AB05DA" w:rsidRDefault="007B077C" w:rsidP="00D56569">
            <w:pPr>
              <w:pStyle w:val="TableParagraph"/>
              <w:rPr>
                <w:rFonts w:ascii="標楷體" w:eastAsia="標楷體" w:hAnsi="標楷體"/>
                <w:color w:val="000000" w:themeColor="text1"/>
                <w:sz w:val="24"/>
              </w:rPr>
            </w:pPr>
          </w:p>
        </w:tc>
      </w:tr>
      <w:tr w:rsidR="00AB05DA" w:rsidRPr="00AB05DA" w14:paraId="19E3A83C" w14:textId="77777777" w:rsidTr="007B077C">
        <w:trPr>
          <w:trHeight w:val="1041"/>
        </w:trPr>
        <w:tc>
          <w:tcPr>
            <w:tcW w:w="1276" w:type="dxa"/>
            <w:vMerge/>
          </w:tcPr>
          <w:p w14:paraId="3FDF95E9" w14:textId="77777777" w:rsidR="007B077C" w:rsidRPr="00AB05DA" w:rsidRDefault="007B077C" w:rsidP="00D56569">
            <w:pPr>
              <w:pStyle w:val="TableParagraph"/>
              <w:rPr>
                <w:rFonts w:ascii="標楷體" w:eastAsia="標楷體" w:hAnsi="標楷體"/>
                <w:color w:val="000000" w:themeColor="text1"/>
                <w:sz w:val="24"/>
                <w:lang w:eastAsia="zh-TW"/>
              </w:rPr>
            </w:pPr>
          </w:p>
        </w:tc>
        <w:tc>
          <w:tcPr>
            <w:tcW w:w="709" w:type="dxa"/>
            <w:vAlign w:val="center"/>
          </w:tcPr>
          <w:p w14:paraId="4D67C62A" w14:textId="70DEA8C8" w:rsidR="007B077C" w:rsidRPr="00AB05DA" w:rsidRDefault="007B077C" w:rsidP="007B077C">
            <w:pPr>
              <w:pStyle w:val="TableParagraph"/>
              <w:jc w:val="center"/>
              <w:rPr>
                <w:rFonts w:ascii="標楷體" w:eastAsia="標楷體" w:hAnsi="標楷體"/>
                <w:color w:val="000000" w:themeColor="text1"/>
                <w:sz w:val="26"/>
              </w:rPr>
            </w:pPr>
            <w:r w:rsidRPr="00AB05DA">
              <w:rPr>
                <w:rFonts w:ascii="標楷體" w:eastAsia="標楷體" w:hAnsi="標楷體" w:hint="eastAsia"/>
                <w:color w:val="000000" w:themeColor="text1"/>
                <w:sz w:val="26"/>
              </w:rPr>
              <w:t>4</w:t>
            </w:r>
          </w:p>
        </w:tc>
        <w:tc>
          <w:tcPr>
            <w:tcW w:w="6237" w:type="dxa"/>
          </w:tcPr>
          <w:p w14:paraId="212A168C" w14:textId="77777777" w:rsidR="007B077C" w:rsidRPr="00AB05DA" w:rsidRDefault="007B077C" w:rsidP="007B077C">
            <w:pPr>
              <w:pStyle w:val="TableParagraph"/>
              <w:kinsoku w:val="0"/>
              <w:wordWrap w:val="0"/>
              <w:spacing w:before="1"/>
              <w:ind w:left="113" w:right="113"/>
              <w:rPr>
                <w:rFonts w:ascii="標楷體" w:eastAsia="標楷體" w:hAnsi="標楷體"/>
                <w:color w:val="000000" w:themeColor="text1"/>
                <w:w w:val="95"/>
                <w:sz w:val="26"/>
                <w:szCs w:val="26"/>
                <w:lang w:eastAsia="zh-TW"/>
              </w:rPr>
            </w:pPr>
            <w:r w:rsidRPr="00AB05DA">
              <w:rPr>
                <w:rFonts w:ascii="Times New Roman" w:eastAsia="標楷體" w:hAnsi="Times New Roman" w:cs="Times New Roman" w:hint="eastAsia"/>
                <w:color w:val="000000" w:themeColor="text1"/>
                <w:sz w:val="26"/>
                <w:szCs w:val="26"/>
                <w:lang w:eastAsia="zh-TW"/>
              </w:rPr>
              <w:t>支撐架材質的選擇，是否採用下述其一規範。</w:t>
            </w:r>
            <w:r w:rsidRPr="00AB05DA">
              <w:rPr>
                <w:rFonts w:ascii="Times New Roman" w:eastAsia="標楷體" w:hAnsi="Times New Roman" w:cs="Times New Roman"/>
                <w:color w:val="000000" w:themeColor="text1"/>
                <w:sz w:val="26"/>
                <w:szCs w:val="26"/>
                <w:lang w:eastAsia="zh-TW"/>
              </w:rPr>
              <w:t>若採用鋼構基材，應為一般結構用鋼材</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如</w:t>
            </w:r>
            <w:r w:rsidRPr="00AB05DA">
              <w:rPr>
                <w:rFonts w:ascii="Times New Roman" w:eastAsia="標楷體" w:hAnsi="Times New Roman" w:cs="Times New Roman"/>
                <w:color w:val="000000" w:themeColor="text1"/>
                <w:sz w:val="26"/>
                <w:szCs w:val="26"/>
                <w:lang w:eastAsia="zh-TW"/>
              </w:rPr>
              <w:t>ASTM A709</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ASTM A36</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A572</w:t>
            </w:r>
            <w:r w:rsidRPr="00AB05DA">
              <w:rPr>
                <w:rFonts w:ascii="Times New Roman" w:eastAsia="標楷體" w:hAnsi="Times New Roman" w:cs="Times New Roman"/>
                <w:color w:val="000000" w:themeColor="text1"/>
                <w:sz w:val="26"/>
                <w:szCs w:val="26"/>
                <w:lang w:eastAsia="zh-TW"/>
              </w:rPr>
              <w:t>等</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或冷軋鋼構材外加表面防蝕處理，或耐候鋼材</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如</w:t>
            </w:r>
            <w:r w:rsidRPr="00AB05DA">
              <w:rPr>
                <w:rFonts w:ascii="Times New Roman" w:eastAsia="標楷體" w:hAnsi="Times New Roman" w:cs="Times New Roman"/>
                <w:color w:val="000000" w:themeColor="text1"/>
                <w:sz w:val="26"/>
                <w:szCs w:val="26"/>
                <w:lang w:eastAsia="zh-TW"/>
              </w:rPr>
              <w:t>ASTM A588</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CNS 4620</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JIS G3114</w:t>
            </w:r>
            <w:r w:rsidRPr="00AB05DA">
              <w:rPr>
                <w:rFonts w:ascii="Times New Roman" w:eastAsia="標楷體" w:hAnsi="Times New Roman" w:cs="Times New Roman"/>
                <w:color w:val="000000" w:themeColor="text1"/>
                <w:sz w:val="26"/>
                <w:szCs w:val="26"/>
                <w:lang w:eastAsia="zh-TW"/>
              </w:rPr>
              <w:t>等</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hint="eastAsia"/>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若採用鋁合金鋁擠型基材，其鋁合金材質應為</w:t>
            </w:r>
            <w:r w:rsidRPr="00AB05DA">
              <w:rPr>
                <w:rFonts w:ascii="Times New Roman" w:eastAsia="標楷體" w:hAnsi="Times New Roman" w:cs="Times New Roman"/>
                <w:color w:val="000000" w:themeColor="text1"/>
                <w:sz w:val="26"/>
                <w:szCs w:val="26"/>
                <w:lang w:eastAsia="zh-TW"/>
              </w:rPr>
              <w:t>6005T5</w:t>
            </w:r>
            <w:r w:rsidRPr="00AB05DA">
              <w:rPr>
                <w:rFonts w:ascii="Times New Roman" w:eastAsia="標楷體" w:hAnsi="Times New Roman" w:cs="Times New Roman"/>
                <w:color w:val="000000" w:themeColor="text1"/>
                <w:sz w:val="26"/>
                <w:szCs w:val="26"/>
                <w:lang w:eastAsia="zh-TW"/>
              </w:rPr>
              <w:t>或</w:t>
            </w:r>
            <w:r w:rsidRPr="00AB05DA">
              <w:rPr>
                <w:rFonts w:ascii="Times New Roman" w:eastAsia="標楷體" w:hAnsi="Times New Roman" w:cs="Times New Roman"/>
                <w:color w:val="000000" w:themeColor="text1"/>
                <w:sz w:val="26"/>
                <w:szCs w:val="26"/>
                <w:lang w:eastAsia="zh-TW"/>
              </w:rPr>
              <w:t>6061T</w:t>
            </w:r>
            <w:r w:rsidRPr="00AB05DA">
              <w:rPr>
                <w:rFonts w:ascii="Times New Roman" w:eastAsia="標楷體" w:hAnsi="Times New Roman" w:cs="Times New Roman" w:hint="eastAsia"/>
                <w:color w:val="000000" w:themeColor="text1"/>
                <w:sz w:val="26"/>
                <w:szCs w:val="26"/>
                <w:lang w:eastAsia="zh-TW"/>
              </w:rPr>
              <w:t>6</w:t>
            </w:r>
            <w:r w:rsidRPr="00AB05DA">
              <w:rPr>
                <w:rFonts w:ascii="Times New Roman" w:eastAsia="標楷體" w:hAnsi="Times New Roman" w:cs="Times New Roman"/>
                <w:color w:val="000000" w:themeColor="text1"/>
                <w:sz w:val="26"/>
                <w:szCs w:val="26"/>
                <w:lang w:eastAsia="zh-TW"/>
              </w:rPr>
              <w:t>以上等級，並須符合結構安全要求。</w:t>
            </w:r>
          </w:p>
        </w:tc>
        <w:tc>
          <w:tcPr>
            <w:tcW w:w="850" w:type="dxa"/>
            <w:vAlign w:val="center"/>
          </w:tcPr>
          <w:p w14:paraId="66AFB1CE" w14:textId="5A0905E8"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D450778" w14:textId="77777777"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C3C8C6A" w14:textId="77777777" w:rsidR="007B077C" w:rsidRPr="00AB05DA" w:rsidRDefault="007B077C" w:rsidP="00D56569">
            <w:pPr>
              <w:pStyle w:val="TableParagraph"/>
              <w:rPr>
                <w:rFonts w:ascii="標楷體" w:eastAsia="標楷體" w:hAnsi="標楷體"/>
                <w:color w:val="000000" w:themeColor="text1"/>
                <w:sz w:val="24"/>
                <w:lang w:eastAsia="zh-TW"/>
              </w:rPr>
            </w:pPr>
          </w:p>
        </w:tc>
      </w:tr>
      <w:tr w:rsidR="00AB05DA" w:rsidRPr="00AB05DA" w14:paraId="0EF6F7A5" w14:textId="77777777" w:rsidTr="00BB6ABB">
        <w:trPr>
          <w:trHeight w:val="1112"/>
        </w:trPr>
        <w:tc>
          <w:tcPr>
            <w:tcW w:w="1276" w:type="dxa"/>
            <w:vMerge w:val="restart"/>
            <w:vAlign w:val="center"/>
          </w:tcPr>
          <w:p w14:paraId="4DB9C496" w14:textId="42B264B4" w:rsidR="0033522C" w:rsidRPr="00AB05DA" w:rsidRDefault="0033522C" w:rsidP="007B077C">
            <w:pPr>
              <w:pStyle w:val="TableParagraph"/>
              <w:spacing w:before="44" w:line="282" w:lineRule="exact"/>
              <w:ind w:left="112"/>
              <w:jc w:val="both"/>
              <w:rPr>
                <w:rFonts w:ascii="標楷體" w:eastAsia="標楷體" w:hAnsi="標楷體"/>
                <w:color w:val="000000" w:themeColor="text1"/>
                <w:sz w:val="26"/>
                <w:lang w:eastAsia="zh-TW"/>
              </w:rPr>
            </w:pPr>
            <w:r w:rsidRPr="00AB05DA">
              <w:rPr>
                <w:rFonts w:ascii="標楷體" w:eastAsia="標楷體" w:hAnsi="標楷體"/>
                <w:color w:val="000000" w:themeColor="text1"/>
                <w:w w:val="95"/>
                <w:sz w:val="26"/>
              </w:rPr>
              <w:t>太陽光電</w:t>
            </w:r>
            <w:r w:rsidRPr="00AB05DA">
              <w:rPr>
                <w:rFonts w:ascii="標楷體" w:eastAsia="標楷體" w:hAnsi="標楷體"/>
                <w:color w:val="000000" w:themeColor="text1"/>
                <w:sz w:val="26"/>
              </w:rPr>
              <w:t>模組</w:t>
            </w:r>
          </w:p>
        </w:tc>
        <w:tc>
          <w:tcPr>
            <w:tcW w:w="709" w:type="dxa"/>
            <w:vAlign w:val="center"/>
          </w:tcPr>
          <w:p w14:paraId="6241D895" w14:textId="77777777" w:rsidR="0033522C" w:rsidRPr="00AB05DA" w:rsidRDefault="0033522C" w:rsidP="007B077C">
            <w:pPr>
              <w:pStyle w:val="TableParagraph"/>
              <w:spacing w:before="202"/>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1</w:t>
            </w:r>
          </w:p>
        </w:tc>
        <w:tc>
          <w:tcPr>
            <w:tcW w:w="6237" w:type="dxa"/>
          </w:tcPr>
          <w:p w14:paraId="131EC391" w14:textId="36C7A384"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太陽光電模組產品須全數符合經濟部標檢局「台灣高效能太陽光電模組技術規範」自願性產品驗證及通過「太陽光電自願性產品驗證工廠檢查特定規範」</w:t>
            </w:r>
          </w:p>
        </w:tc>
        <w:tc>
          <w:tcPr>
            <w:tcW w:w="850" w:type="dxa"/>
            <w:vAlign w:val="center"/>
          </w:tcPr>
          <w:p w14:paraId="4C1A5767" w14:textId="243E2B6A"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997F98A" w14:textId="00144D6A"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464CE4EB" w14:textId="77777777" w:rsidR="0033522C" w:rsidRPr="00AB05DA" w:rsidRDefault="0033522C" w:rsidP="00D56569">
            <w:pPr>
              <w:pStyle w:val="TableParagraph"/>
              <w:rPr>
                <w:rFonts w:ascii="標楷體" w:eastAsia="標楷體" w:hAnsi="標楷體"/>
                <w:color w:val="000000" w:themeColor="text1"/>
                <w:sz w:val="24"/>
              </w:rPr>
            </w:pPr>
          </w:p>
        </w:tc>
      </w:tr>
      <w:tr w:rsidR="00AB05DA" w:rsidRPr="00AB05DA" w14:paraId="118799E9" w14:textId="77777777" w:rsidTr="00BB6ABB">
        <w:trPr>
          <w:trHeight w:val="934"/>
        </w:trPr>
        <w:tc>
          <w:tcPr>
            <w:tcW w:w="1276" w:type="dxa"/>
            <w:vMerge/>
          </w:tcPr>
          <w:p w14:paraId="5084BA2A" w14:textId="58F86B5B" w:rsidR="0033522C" w:rsidRPr="00AB05DA" w:rsidRDefault="0033522C" w:rsidP="00D56569">
            <w:pPr>
              <w:pStyle w:val="TableParagraph"/>
              <w:spacing w:line="285" w:lineRule="exact"/>
              <w:ind w:left="4"/>
              <w:rPr>
                <w:rFonts w:ascii="標楷體" w:eastAsia="標楷體" w:hAnsi="標楷體"/>
                <w:color w:val="000000" w:themeColor="text1"/>
                <w:sz w:val="26"/>
              </w:rPr>
            </w:pPr>
          </w:p>
        </w:tc>
        <w:tc>
          <w:tcPr>
            <w:tcW w:w="709" w:type="dxa"/>
            <w:vAlign w:val="center"/>
          </w:tcPr>
          <w:p w14:paraId="13324F82" w14:textId="722DA791" w:rsidR="0033522C" w:rsidRPr="00AB05DA" w:rsidRDefault="0033522C" w:rsidP="007B077C">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2</w:t>
            </w:r>
          </w:p>
        </w:tc>
        <w:tc>
          <w:tcPr>
            <w:tcW w:w="6237" w:type="dxa"/>
          </w:tcPr>
          <w:p w14:paraId="758FD489" w14:textId="0F43B504"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系統規格要求根據「用戶用電設備裝置規則」內太陽能系統專章。並另提出電機工程技師簽證。</w:t>
            </w:r>
          </w:p>
        </w:tc>
        <w:tc>
          <w:tcPr>
            <w:tcW w:w="850" w:type="dxa"/>
            <w:vAlign w:val="center"/>
          </w:tcPr>
          <w:p w14:paraId="29D97A71" w14:textId="25EA8F0F"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73AFF78" w14:textId="327F0B18"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vMerge w:val="restart"/>
          </w:tcPr>
          <w:p w14:paraId="4D675DD5" w14:textId="77777777" w:rsidR="0033522C" w:rsidRPr="00AB05DA" w:rsidRDefault="0033522C" w:rsidP="00D56569">
            <w:pPr>
              <w:pStyle w:val="TableParagraph"/>
              <w:rPr>
                <w:rFonts w:ascii="標楷體" w:eastAsia="標楷體" w:hAnsi="標楷體"/>
                <w:color w:val="000000" w:themeColor="text1"/>
                <w:sz w:val="24"/>
              </w:rPr>
            </w:pPr>
          </w:p>
        </w:tc>
      </w:tr>
      <w:tr w:rsidR="00AB05DA" w:rsidRPr="00AB05DA" w14:paraId="4B0803BE" w14:textId="77777777" w:rsidTr="00BB6ABB">
        <w:trPr>
          <w:trHeight w:val="745"/>
        </w:trPr>
        <w:tc>
          <w:tcPr>
            <w:tcW w:w="1276" w:type="dxa"/>
            <w:vMerge/>
          </w:tcPr>
          <w:p w14:paraId="1A2837D8" w14:textId="77777777" w:rsidR="0033522C" w:rsidRPr="00AB05DA" w:rsidRDefault="0033522C" w:rsidP="00D56569">
            <w:pPr>
              <w:pStyle w:val="TableParagraph"/>
              <w:spacing w:before="93"/>
              <w:ind w:left="112"/>
              <w:rPr>
                <w:rFonts w:ascii="標楷體" w:eastAsia="標楷體" w:hAnsi="標楷體"/>
                <w:color w:val="000000" w:themeColor="text1"/>
                <w:sz w:val="26"/>
              </w:rPr>
            </w:pPr>
          </w:p>
        </w:tc>
        <w:tc>
          <w:tcPr>
            <w:tcW w:w="709" w:type="dxa"/>
            <w:tcBorders>
              <w:top w:val="single" w:sz="4" w:space="0" w:color="auto"/>
            </w:tcBorders>
            <w:vAlign w:val="center"/>
          </w:tcPr>
          <w:p w14:paraId="273B2FFB" w14:textId="77777777" w:rsidR="0033522C" w:rsidRPr="00AB05DA" w:rsidRDefault="0033522C" w:rsidP="007B077C">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3</w:t>
            </w:r>
          </w:p>
        </w:tc>
        <w:tc>
          <w:tcPr>
            <w:tcW w:w="6237" w:type="dxa"/>
            <w:tcBorders>
              <w:top w:val="single" w:sz="4" w:space="0" w:color="auto"/>
            </w:tcBorders>
          </w:tcPr>
          <w:p w14:paraId="5EC5E9E5" w14:textId="227CC76E"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太陽光電模組鋁框與鋼構材接觸位置應加裝具耐久性之有效絕緣墊片以隔開二者，避免產生電位差腐蝕</w:t>
            </w:r>
          </w:p>
        </w:tc>
        <w:tc>
          <w:tcPr>
            <w:tcW w:w="850" w:type="dxa"/>
            <w:tcBorders>
              <w:top w:val="single" w:sz="4" w:space="0" w:color="auto"/>
            </w:tcBorders>
            <w:vAlign w:val="center"/>
          </w:tcPr>
          <w:p w14:paraId="58B9778D" w14:textId="49FB4B51"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E2C47AB" w14:textId="48854568"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vMerge/>
          </w:tcPr>
          <w:p w14:paraId="63C65717" w14:textId="77777777" w:rsidR="0033522C" w:rsidRPr="00AB05DA" w:rsidRDefault="0033522C" w:rsidP="00D56569">
            <w:pPr>
              <w:rPr>
                <w:rFonts w:ascii="標楷體" w:eastAsia="標楷體" w:hAnsi="標楷體"/>
                <w:color w:val="000000" w:themeColor="text1"/>
                <w:sz w:val="2"/>
                <w:szCs w:val="2"/>
              </w:rPr>
            </w:pPr>
          </w:p>
        </w:tc>
      </w:tr>
      <w:tr w:rsidR="00AB05DA" w:rsidRPr="00AB05DA" w14:paraId="57053938" w14:textId="77777777" w:rsidTr="000E292D">
        <w:trPr>
          <w:trHeight w:val="1019"/>
        </w:trPr>
        <w:tc>
          <w:tcPr>
            <w:tcW w:w="1276" w:type="dxa"/>
            <w:vMerge/>
          </w:tcPr>
          <w:p w14:paraId="0D846991" w14:textId="77777777" w:rsidR="0033522C" w:rsidRPr="00AB05DA" w:rsidRDefault="0033522C" w:rsidP="00D56569">
            <w:pPr>
              <w:pStyle w:val="TableParagraph"/>
              <w:rPr>
                <w:rFonts w:ascii="標楷體" w:eastAsia="標楷體" w:hAnsi="標楷體"/>
                <w:color w:val="000000" w:themeColor="text1"/>
                <w:sz w:val="24"/>
              </w:rPr>
            </w:pPr>
          </w:p>
        </w:tc>
        <w:tc>
          <w:tcPr>
            <w:tcW w:w="709" w:type="dxa"/>
            <w:vAlign w:val="center"/>
          </w:tcPr>
          <w:p w14:paraId="1C6DB41C" w14:textId="77777777" w:rsidR="0033522C" w:rsidRPr="00AB05DA" w:rsidRDefault="0033522C" w:rsidP="00BB6ABB">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4</w:t>
            </w:r>
          </w:p>
        </w:tc>
        <w:tc>
          <w:tcPr>
            <w:tcW w:w="6237" w:type="dxa"/>
          </w:tcPr>
          <w:p w14:paraId="37A349A6" w14:textId="18E90B97"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螺絲組與太陽光電模組鋁框接觸處之平板華司下方應再加裝具耐久性之有效絕緣墊片以隔開螺絲組及模組鋁框</w:t>
            </w:r>
          </w:p>
        </w:tc>
        <w:tc>
          <w:tcPr>
            <w:tcW w:w="850" w:type="dxa"/>
            <w:vAlign w:val="center"/>
          </w:tcPr>
          <w:p w14:paraId="0E4D36FB" w14:textId="3BC47E99"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342EE36" w14:textId="7C3988EC"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79B95BD7" w14:textId="77777777" w:rsidR="0033522C" w:rsidRPr="00AB05DA" w:rsidRDefault="0033522C" w:rsidP="00D56569">
            <w:pPr>
              <w:pStyle w:val="TableParagraph"/>
              <w:rPr>
                <w:rFonts w:ascii="標楷體" w:eastAsia="標楷體" w:hAnsi="標楷體"/>
                <w:color w:val="000000" w:themeColor="text1"/>
                <w:sz w:val="24"/>
              </w:rPr>
            </w:pPr>
          </w:p>
        </w:tc>
      </w:tr>
      <w:tr w:rsidR="00AB05DA" w:rsidRPr="00AB05DA" w14:paraId="6FA1B5D9" w14:textId="77777777" w:rsidTr="00A97926">
        <w:trPr>
          <w:trHeight w:val="405"/>
        </w:trPr>
        <w:tc>
          <w:tcPr>
            <w:tcW w:w="1276" w:type="dxa"/>
            <w:vMerge/>
          </w:tcPr>
          <w:p w14:paraId="7E710BC1" w14:textId="77777777" w:rsidR="00B9786B" w:rsidRPr="00AB05DA" w:rsidRDefault="00B9786B" w:rsidP="00D56569">
            <w:pPr>
              <w:pStyle w:val="TableParagraph"/>
              <w:rPr>
                <w:rFonts w:ascii="標楷體" w:eastAsia="標楷體" w:hAnsi="標楷體"/>
                <w:color w:val="000000" w:themeColor="text1"/>
                <w:sz w:val="24"/>
              </w:rPr>
            </w:pPr>
          </w:p>
        </w:tc>
        <w:tc>
          <w:tcPr>
            <w:tcW w:w="709" w:type="dxa"/>
            <w:vMerge w:val="restart"/>
            <w:vAlign w:val="center"/>
          </w:tcPr>
          <w:p w14:paraId="69E835C4" w14:textId="77777777" w:rsidR="00B9786B" w:rsidRPr="00AB05DA" w:rsidRDefault="00B9786B" w:rsidP="0033522C">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5</w:t>
            </w:r>
          </w:p>
        </w:tc>
        <w:tc>
          <w:tcPr>
            <w:tcW w:w="6237" w:type="dxa"/>
            <w:vMerge w:val="restart"/>
          </w:tcPr>
          <w:p w14:paraId="0C6385E2" w14:textId="78E73CCC" w:rsidR="00B9786B" w:rsidRPr="00AB05DA" w:rsidRDefault="00B9786B" w:rsidP="00B9786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所有隔絕電位差之耐久性有效絕緣墊片應提出材質規格及證明資料。</w:t>
            </w:r>
          </w:p>
        </w:tc>
        <w:tc>
          <w:tcPr>
            <w:tcW w:w="850" w:type="dxa"/>
            <w:tcBorders>
              <w:bottom w:val="nil"/>
            </w:tcBorders>
          </w:tcPr>
          <w:p w14:paraId="6113F53C" w14:textId="77777777" w:rsidR="00B9786B" w:rsidRPr="00AB05DA" w:rsidRDefault="00B9786B"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 xml:space="preserve">□是 </w:t>
            </w:r>
          </w:p>
        </w:tc>
        <w:tc>
          <w:tcPr>
            <w:tcW w:w="1276" w:type="dxa"/>
            <w:vMerge w:val="restart"/>
          </w:tcPr>
          <w:p w14:paraId="55B3D93C" w14:textId="77777777" w:rsidR="00B9786B" w:rsidRPr="00AB05DA" w:rsidRDefault="00B9786B" w:rsidP="00D56569">
            <w:pPr>
              <w:pStyle w:val="TableParagraph"/>
              <w:rPr>
                <w:rFonts w:ascii="標楷體" w:eastAsia="標楷體" w:hAnsi="標楷體"/>
                <w:color w:val="000000" w:themeColor="text1"/>
                <w:sz w:val="24"/>
              </w:rPr>
            </w:pPr>
          </w:p>
        </w:tc>
      </w:tr>
      <w:tr w:rsidR="00AB05DA" w:rsidRPr="00AB05DA" w14:paraId="2BE7FC4D" w14:textId="77777777" w:rsidTr="00A97926">
        <w:trPr>
          <w:trHeight w:val="375"/>
        </w:trPr>
        <w:tc>
          <w:tcPr>
            <w:tcW w:w="1276" w:type="dxa"/>
            <w:vMerge/>
          </w:tcPr>
          <w:p w14:paraId="29CA4AFB" w14:textId="77777777" w:rsidR="00B9786B" w:rsidRPr="00AB05DA" w:rsidRDefault="00B9786B" w:rsidP="00D56569">
            <w:pPr>
              <w:pStyle w:val="TableParagraph"/>
              <w:rPr>
                <w:rFonts w:ascii="標楷體" w:eastAsia="標楷體" w:hAnsi="標楷體"/>
                <w:color w:val="000000" w:themeColor="text1"/>
                <w:sz w:val="24"/>
              </w:rPr>
            </w:pPr>
          </w:p>
        </w:tc>
        <w:tc>
          <w:tcPr>
            <w:tcW w:w="709" w:type="dxa"/>
            <w:vMerge/>
          </w:tcPr>
          <w:p w14:paraId="573B5B98" w14:textId="77777777" w:rsidR="00B9786B" w:rsidRPr="00AB05DA" w:rsidRDefault="00B9786B" w:rsidP="0033522C">
            <w:pPr>
              <w:pStyle w:val="TableParagraph"/>
              <w:jc w:val="center"/>
              <w:rPr>
                <w:rFonts w:ascii="標楷體" w:eastAsia="標楷體" w:hAnsi="標楷體"/>
                <w:color w:val="000000" w:themeColor="text1"/>
                <w:w w:val="97"/>
                <w:sz w:val="26"/>
              </w:rPr>
            </w:pPr>
          </w:p>
        </w:tc>
        <w:tc>
          <w:tcPr>
            <w:tcW w:w="6237" w:type="dxa"/>
            <w:vMerge/>
          </w:tcPr>
          <w:p w14:paraId="1B35B90D" w14:textId="18C6237D" w:rsidR="00B9786B" w:rsidRPr="00AB05DA" w:rsidRDefault="00B9786B" w:rsidP="00BB6ABB">
            <w:pPr>
              <w:pStyle w:val="TableParagraph"/>
              <w:kinsoku w:val="0"/>
              <w:wordWrap w:val="0"/>
              <w:ind w:left="113" w:right="113"/>
              <w:rPr>
                <w:rFonts w:ascii="標楷體" w:eastAsia="標楷體" w:hAnsi="標楷體"/>
                <w:color w:val="000000" w:themeColor="text1"/>
                <w:sz w:val="26"/>
                <w:lang w:eastAsia="zh-TW"/>
              </w:rPr>
            </w:pPr>
          </w:p>
        </w:tc>
        <w:tc>
          <w:tcPr>
            <w:tcW w:w="850" w:type="dxa"/>
            <w:tcBorders>
              <w:top w:val="nil"/>
            </w:tcBorders>
          </w:tcPr>
          <w:p w14:paraId="7708F199" w14:textId="77777777" w:rsidR="00B9786B" w:rsidRPr="00AB05DA" w:rsidRDefault="00B9786B"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 xml:space="preserve">□否 </w:t>
            </w:r>
          </w:p>
        </w:tc>
        <w:tc>
          <w:tcPr>
            <w:tcW w:w="1276" w:type="dxa"/>
            <w:vMerge/>
            <w:tcBorders>
              <w:top w:val="nil"/>
            </w:tcBorders>
          </w:tcPr>
          <w:p w14:paraId="2D297E88" w14:textId="77777777" w:rsidR="00B9786B" w:rsidRPr="00AB05DA" w:rsidRDefault="00B9786B" w:rsidP="00D56569">
            <w:pPr>
              <w:rPr>
                <w:rFonts w:ascii="標楷體" w:eastAsia="標楷體" w:hAnsi="標楷體"/>
                <w:color w:val="000000" w:themeColor="text1"/>
                <w:sz w:val="2"/>
                <w:szCs w:val="2"/>
              </w:rPr>
            </w:pPr>
          </w:p>
        </w:tc>
      </w:tr>
      <w:tr w:rsidR="00AB05DA" w:rsidRPr="00AB05DA" w14:paraId="6DF9E19D" w14:textId="77777777" w:rsidTr="00B9786B">
        <w:trPr>
          <w:trHeight w:val="2147"/>
        </w:trPr>
        <w:tc>
          <w:tcPr>
            <w:tcW w:w="1276" w:type="dxa"/>
            <w:vMerge/>
          </w:tcPr>
          <w:p w14:paraId="7DC6E817" w14:textId="77777777" w:rsidR="0033522C" w:rsidRPr="00AB05DA" w:rsidRDefault="0033522C" w:rsidP="00D56569">
            <w:pPr>
              <w:pStyle w:val="TableParagraph"/>
              <w:rPr>
                <w:rFonts w:ascii="標楷體" w:eastAsia="標楷體" w:hAnsi="標楷體"/>
                <w:color w:val="000000" w:themeColor="text1"/>
                <w:sz w:val="24"/>
              </w:rPr>
            </w:pPr>
          </w:p>
        </w:tc>
        <w:tc>
          <w:tcPr>
            <w:tcW w:w="709" w:type="dxa"/>
            <w:vAlign w:val="center"/>
          </w:tcPr>
          <w:p w14:paraId="7FCA8A64" w14:textId="01AA5FF5" w:rsidR="0033522C" w:rsidRPr="00AB05DA" w:rsidRDefault="0033522C" w:rsidP="00B9786B">
            <w:pPr>
              <w:pStyle w:val="TableParagraph"/>
              <w:jc w:val="center"/>
              <w:rPr>
                <w:rFonts w:ascii="標楷體" w:eastAsia="標楷體" w:hAnsi="標楷體"/>
                <w:color w:val="000000" w:themeColor="text1"/>
                <w:w w:val="97"/>
                <w:sz w:val="26"/>
              </w:rPr>
            </w:pPr>
            <w:r w:rsidRPr="00AB05DA">
              <w:rPr>
                <w:rFonts w:ascii="標楷體" w:eastAsia="標楷體" w:hAnsi="標楷體" w:hint="eastAsia"/>
                <w:color w:val="000000" w:themeColor="text1"/>
                <w:w w:val="97"/>
                <w:sz w:val="26"/>
              </w:rPr>
              <w:t>6</w:t>
            </w:r>
          </w:p>
        </w:tc>
        <w:tc>
          <w:tcPr>
            <w:tcW w:w="6237" w:type="dxa"/>
          </w:tcPr>
          <w:p w14:paraId="6F70FB04" w14:textId="1674AEB8" w:rsidR="0033522C" w:rsidRPr="00AB05DA" w:rsidRDefault="0033522C" w:rsidP="00B9786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單一模組與支撐架正面連結（上扣）及背部連結（下鎖）的固定組件共計需8個點以上。如太陽能光電模組距離屋頂面最高高度超過0.3公尺以下之系統，單一模組與支撐架正面連結（上扣）必須與3 根支架組件（位於模組上中下側）連結固定，連結扣件共計需6組以上。</w:t>
            </w:r>
          </w:p>
        </w:tc>
        <w:tc>
          <w:tcPr>
            <w:tcW w:w="850" w:type="dxa"/>
            <w:vAlign w:val="center"/>
          </w:tcPr>
          <w:p w14:paraId="1F83615E" w14:textId="75356C63" w:rsidR="0033522C" w:rsidRPr="00AB05DA" w:rsidRDefault="0033522C"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0E3B14F0" w14:textId="1D8BFC97" w:rsidR="0033522C" w:rsidRPr="00AB05DA" w:rsidRDefault="0033522C"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0B9F0119" w14:textId="77777777" w:rsidR="0033522C" w:rsidRPr="00AB05DA" w:rsidRDefault="0033522C" w:rsidP="00D56569">
            <w:pPr>
              <w:pStyle w:val="TableParagraph"/>
              <w:rPr>
                <w:rFonts w:ascii="標楷體" w:eastAsia="標楷體" w:hAnsi="標楷體"/>
                <w:color w:val="000000" w:themeColor="text1"/>
                <w:sz w:val="24"/>
              </w:rPr>
            </w:pPr>
          </w:p>
        </w:tc>
      </w:tr>
    </w:tbl>
    <w:p w14:paraId="26513375" w14:textId="77777777" w:rsidR="00830524" w:rsidRPr="00AB05DA" w:rsidRDefault="00830524" w:rsidP="00830524">
      <w:pPr>
        <w:spacing w:before="67"/>
        <w:ind w:left="540"/>
        <w:rPr>
          <w:rFonts w:ascii="標楷體" w:eastAsia="標楷體" w:hAnsi="標楷體"/>
          <w:color w:val="000000" w:themeColor="text1"/>
        </w:rPr>
      </w:pPr>
      <w:r w:rsidRPr="00AB05DA">
        <w:rPr>
          <w:rFonts w:ascii="標楷體" w:eastAsia="標楷體" w:hAnsi="標楷體"/>
          <w:color w:val="000000" w:themeColor="text1"/>
        </w:rPr>
        <w:lastRenderedPageBreak/>
        <w:t xml:space="preserve">註：檢驗結果須全部為是，若有否者，則需由得標廠商盡速修正，以完成檢驗。 </w:t>
      </w:r>
    </w:p>
    <w:sectPr w:rsidR="00830524" w:rsidRPr="00AB05DA" w:rsidSect="008A5E60">
      <w:pgSz w:w="11906" w:h="16838"/>
      <w:pgMar w:top="567" w:right="851"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ADC94" w14:textId="77777777" w:rsidR="007442F9" w:rsidRDefault="007442F9" w:rsidP="00FF1A54">
      <w:r>
        <w:separator/>
      </w:r>
    </w:p>
  </w:endnote>
  <w:endnote w:type="continuationSeparator" w:id="0">
    <w:p w14:paraId="6EB60860" w14:textId="77777777" w:rsidR="007442F9" w:rsidRDefault="007442F9" w:rsidP="00FF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F93E9" w14:textId="77777777" w:rsidR="007442F9" w:rsidRDefault="007442F9" w:rsidP="00FF1A54">
      <w:r>
        <w:separator/>
      </w:r>
    </w:p>
  </w:footnote>
  <w:footnote w:type="continuationSeparator" w:id="0">
    <w:p w14:paraId="2D87928A" w14:textId="77777777" w:rsidR="007442F9" w:rsidRDefault="007442F9" w:rsidP="00FF1A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76B4B26"/>
    <w:multiLevelType w:val="hybridMultilevel"/>
    <w:tmpl w:val="4BD6E08E"/>
    <w:lvl w:ilvl="0" w:tplc="2AB4C9CA">
      <w:start w:val="1"/>
      <w:numFmt w:val="decimal"/>
      <w:lvlText w:val="%1."/>
      <w:lvlJc w:val="left"/>
      <w:pPr>
        <w:ind w:left="397" w:hanging="284"/>
      </w:pPr>
      <w:rPr>
        <w:rFonts w:ascii="Times New Roman" w:eastAsia="Times New Roman" w:hAnsi="Times New Roman" w:cs="Times New Roman" w:hint="default"/>
        <w:w w:val="97"/>
        <w:sz w:val="26"/>
        <w:szCs w:val="26"/>
        <w:lang w:val="en-US" w:eastAsia="zh-TW" w:bidi="ar-SA"/>
      </w:rPr>
    </w:lvl>
    <w:lvl w:ilvl="1" w:tplc="07E2E1C8">
      <w:numFmt w:val="bullet"/>
      <w:lvlText w:val="•"/>
      <w:lvlJc w:val="left"/>
      <w:pPr>
        <w:ind w:left="943" w:hanging="284"/>
      </w:pPr>
      <w:rPr>
        <w:rFonts w:hint="default"/>
        <w:lang w:val="en-US" w:eastAsia="zh-TW" w:bidi="ar-SA"/>
      </w:rPr>
    </w:lvl>
    <w:lvl w:ilvl="2" w:tplc="39A4D91A">
      <w:numFmt w:val="bullet"/>
      <w:lvlText w:val="•"/>
      <w:lvlJc w:val="left"/>
      <w:pPr>
        <w:ind w:left="1486" w:hanging="284"/>
      </w:pPr>
      <w:rPr>
        <w:rFonts w:hint="default"/>
        <w:lang w:val="en-US" w:eastAsia="zh-TW" w:bidi="ar-SA"/>
      </w:rPr>
    </w:lvl>
    <w:lvl w:ilvl="3" w:tplc="3DC08164">
      <w:numFmt w:val="bullet"/>
      <w:lvlText w:val="•"/>
      <w:lvlJc w:val="left"/>
      <w:pPr>
        <w:ind w:left="2029" w:hanging="284"/>
      </w:pPr>
      <w:rPr>
        <w:rFonts w:hint="default"/>
        <w:lang w:val="en-US" w:eastAsia="zh-TW" w:bidi="ar-SA"/>
      </w:rPr>
    </w:lvl>
    <w:lvl w:ilvl="4" w:tplc="523EA652">
      <w:numFmt w:val="bullet"/>
      <w:lvlText w:val="•"/>
      <w:lvlJc w:val="left"/>
      <w:pPr>
        <w:ind w:left="2572" w:hanging="284"/>
      </w:pPr>
      <w:rPr>
        <w:rFonts w:hint="default"/>
        <w:lang w:val="en-US" w:eastAsia="zh-TW" w:bidi="ar-SA"/>
      </w:rPr>
    </w:lvl>
    <w:lvl w:ilvl="5" w:tplc="17C8989C">
      <w:numFmt w:val="bullet"/>
      <w:lvlText w:val="•"/>
      <w:lvlJc w:val="left"/>
      <w:pPr>
        <w:ind w:left="3115" w:hanging="284"/>
      </w:pPr>
      <w:rPr>
        <w:rFonts w:hint="default"/>
        <w:lang w:val="en-US" w:eastAsia="zh-TW" w:bidi="ar-SA"/>
      </w:rPr>
    </w:lvl>
    <w:lvl w:ilvl="6" w:tplc="03B6AA9A">
      <w:numFmt w:val="bullet"/>
      <w:lvlText w:val="•"/>
      <w:lvlJc w:val="left"/>
      <w:pPr>
        <w:ind w:left="3658" w:hanging="284"/>
      </w:pPr>
      <w:rPr>
        <w:rFonts w:hint="default"/>
        <w:lang w:val="en-US" w:eastAsia="zh-TW" w:bidi="ar-SA"/>
      </w:rPr>
    </w:lvl>
    <w:lvl w:ilvl="7" w:tplc="74F43F0C">
      <w:numFmt w:val="bullet"/>
      <w:lvlText w:val="•"/>
      <w:lvlJc w:val="left"/>
      <w:pPr>
        <w:ind w:left="4201" w:hanging="284"/>
      </w:pPr>
      <w:rPr>
        <w:rFonts w:hint="default"/>
        <w:lang w:val="en-US" w:eastAsia="zh-TW" w:bidi="ar-SA"/>
      </w:rPr>
    </w:lvl>
    <w:lvl w:ilvl="8" w:tplc="0D0E38A6">
      <w:numFmt w:val="bullet"/>
      <w:lvlText w:val="•"/>
      <w:lvlJc w:val="left"/>
      <w:pPr>
        <w:ind w:left="4744" w:hanging="284"/>
      </w:pPr>
      <w:rPr>
        <w:rFonts w:hint="default"/>
        <w:lang w:val="en-US" w:eastAsia="zh-TW"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CD0"/>
    <w:rsid w:val="00006CDE"/>
    <w:rsid w:val="000A626C"/>
    <w:rsid w:val="000C0639"/>
    <w:rsid w:val="00117B0D"/>
    <w:rsid w:val="001241BC"/>
    <w:rsid w:val="0014757F"/>
    <w:rsid w:val="001A3031"/>
    <w:rsid w:val="001C64A5"/>
    <w:rsid w:val="001F0D40"/>
    <w:rsid w:val="002066F2"/>
    <w:rsid w:val="00211943"/>
    <w:rsid w:val="002238A4"/>
    <w:rsid w:val="002638A5"/>
    <w:rsid w:val="00264E65"/>
    <w:rsid w:val="0033522C"/>
    <w:rsid w:val="00363CD0"/>
    <w:rsid w:val="00482748"/>
    <w:rsid w:val="004978B1"/>
    <w:rsid w:val="004C04CE"/>
    <w:rsid w:val="004C5121"/>
    <w:rsid w:val="005C2110"/>
    <w:rsid w:val="0063761D"/>
    <w:rsid w:val="006B43FF"/>
    <w:rsid w:val="006F2058"/>
    <w:rsid w:val="007353FB"/>
    <w:rsid w:val="007442F9"/>
    <w:rsid w:val="00756D62"/>
    <w:rsid w:val="007B077C"/>
    <w:rsid w:val="00830524"/>
    <w:rsid w:val="0084191B"/>
    <w:rsid w:val="008A5E60"/>
    <w:rsid w:val="00937275"/>
    <w:rsid w:val="0095441C"/>
    <w:rsid w:val="009570E3"/>
    <w:rsid w:val="0098130B"/>
    <w:rsid w:val="009D528A"/>
    <w:rsid w:val="00A37E91"/>
    <w:rsid w:val="00A37EC3"/>
    <w:rsid w:val="00AB05DA"/>
    <w:rsid w:val="00B54F6D"/>
    <w:rsid w:val="00B9786B"/>
    <w:rsid w:val="00BA03B4"/>
    <w:rsid w:val="00BB6ABB"/>
    <w:rsid w:val="00C32C77"/>
    <w:rsid w:val="00D44DDA"/>
    <w:rsid w:val="00D47E73"/>
    <w:rsid w:val="00D56569"/>
    <w:rsid w:val="00DB3365"/>
    <w:rsid w:val="00E34CF4"/>
    <w:rsid w:val="00E95792"/>
    <w:rsid w:val="00EF12C3"/>
    <w:rsid w:val="00EF42F3"/>
    <w:rsid w:val="00F63FEB"/>
    <w:rsid w:val="00F972A0"/>
    <w:rsid w:val="00FC61BC"/>
    <w:rsid w:val="00FF0C91"/>
    <w:rsid w:val="00FF1A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4D84"/>
  <w15:docId w15:val="{88ACEB15-26F5-4954-8ECA-916BC9446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65"/>
    <w:pPr>
      <w:widowControl w:val="0"/>
      <w:suppressAutoHyphens/>
      <w:autoSpaceDN w:val="0"/>
    </w:pPr>
    <w:rPr>
      <w:rFonts w:ascii="Times New Roman" w:eastAsia="新細明體" w:hAnsi="Times New Roman" w:cs="Times New Roman"/>
      <w:kern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3CD0"/>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4">
    <w:name w:val="頁首 字元"/>
    <w:basedOn w:val="a0"/>
    <w:link w:val="a3"/>
    <w:uiPriority w:val="99"/>
    <w:rsid w:val="00FF1A54"/>
    <w:rPr>
      <w:sz w:val="20"/>
      <w:szCs w:val="20"/>
    </w:rPr>
  </w:style>
  <w:style w:type="paragraph" w:styleId="a5">
    <w:name w:val="footer"/>
    <w:basedOn w:val="a"/>
    <w:link w:val="a6"/>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6">
    <w:name w:val="頁尾 字元"/>
    <w:basedOn w:val="a0"/>
    <w:link w:val="a5"/>
    <w:uiPriority w:val="99"/>
    <w:rsid w:val="00FF1A54"/>
    <w:rPr>
      <w:sz w:val="20"/>
      <w:szCs w:val="20"/>
    </w:rPr>
  </w:style>
  <w:style w:type="paragraph" w:styleId="a7">
    <w:name w:val="Date"/>
    <w:basedOn w:val="a"/>
    <w:next w:val="a"/>
    <w:link w:val="a8"/>
    <w:uiPriority w:val="99"/>
    <w:semiHidden/>
    <w:unhideWhenUsed/>
    <w:rsid w:val="00FF1A54"/>
    <w:pPr>
      <w:jc w:val="right"/>
    </w:pPr>
  </w:style>
  <w:style w:type="character" w:customStyle="1" w:styleId="a8">
    <w:name w:val="日期 字元"/>
    <w:basedOn w:val="a0"/>
    <w:link w:val="a7"/>
    <w:uiPriority w:val="99"/>
    <w:semiHidden/>
    <w:rsid w:val="00FF1A54"/>
  </w:style>
  <w:style w:type="paragraph" w:styleId="a9">
    <w:name w:val="List Paragraph"/>
    <w:basedOn w:val="a"/>
    <w:link w:val="aa"/>
    <w:uiPriority w:val="34"/>
    <w:qFormat/>
    <w:rsid w:val="00D44DDA"/>
    <w:pPr>
      <w:widowControl/>
      <w:suppressAutoHyphens w:val="0"/>
      <w:autoSpaceDN/>
      <w:spacing w:line="276" w:lineRule="auto"/>
      <w:ind w:leftChars="200" w:left="480"/>
      <w:contextualSpacing/>
    </w:pPr>
    <w:rPr>
      <w:rFonts w:ascii="Arial" w:eastAsiaTheme="minorEastAsia" w:hAnsi="Arial" w:cs="Arial"/>
      <w:kern w:val="0"/>
      <w:sz w:val="22"/>
      <w:szCs w:val="22"/>
    </w:rPr>
  </w:style>
  <w:style w:type="character" w:customStyle="1" w:styleId="aa">
    <w:name w:val="清單段落 字元"/>
    <w:basedOn w:val="a0"/>
    <w:link w:val="a9"/>
    <w:uiPriority w:val="34"/>
    <w:rsid w:val="00D44DDA"/>
    <w:rPr>
      <w:rFonts w:ascii="Arial" w:hAnsi="Arial" w:cs="Arial"/>
      <w:kern w:val="0"/>
      <w:sz w:val="22"/>
    </w:rPr>
  </w:style>
  <w:style w:type="paragraph" w:styleId="ab">
    <w:name w:val="Body Text"/>
    <w:basedOn w:val="a"/>
    <w:link w:val="ac"/>
    <w:uiPriority w:val="1"/>
    <w:unhideWhenUsed/>
    <w:qFormat/>
    <w:rsid w:val="00D44DDA"/>
    <w:pPr>
      <w:suppressAutoHyphens w:val="0"/>
      <w:autoSpaceDE w:val="0"/>
      <w:ind w:left="1212"/>
    </w:pPr>
    <w:rPr>
      <w:rFonts w:ascii="Noto Sans CJK JP Regular" w:eastAsia="Noto Sans CJK JP Regular" w:hAnsi="Noto Sans CJK JP Regular" w:cs="Noto Sans CJK JP Regular"/>
      <w:kern w:val="0"/>
      <w:szCs w:val="24"/>
      <w:lang w:eastAsia="en-US"/>
    </w:rPr>
  </w:style>
  <w:style w:type="character" w:customStyle="1" w:styleId="ac">
    <w:name w:val="本文 字元"/>
    <w:basedOn w:val="a0"/>
    <w:link w:val="ab"/>
    <w:uiPriority w:val="1"/>
    <w:rsid w:val="00D44DDA"/>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D44DDA"/>
    <w:pPr>
      <w:suppressAutoHyphens w:val="0"/>
      <w:autoSpaceDE w:val="0"/>
    </w:pPr>
    <w:rPr>
      <w:rFonts w:ascii="Noto Sans CJK JP Regular" w:eastAsia="Noto Sans CJK JP Regular" w:hAnsi="Noto Sans CJK JP Regular" w:cs="Noto Sans CJK JP Regular"/>
      <w:kern w:val="0"/>
      <w:sz w:val="22"/>
      <w:szCs w:val="22"/>
      <w:lang w:eastAsia="en-US"/>
    </w:rPr>
  </w:style>
  <w:style w:type="table" w:customStyle="1" w:styleId="TableNormal">
    <w:name w:val="Table Normal"/>
    <w:uiPriority w:val="2"/>
    <w:semiHidden/>
    <w:unhideWhenUsed/>
    <w:qFormat/>
    <w:rsid w:val="00830524"/>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320217">
      <w:bodyDiv w:val="1"/>
      <w:marLeft w:val="0"/>
      <w:marRight w:val="0"/>
      <w:marTop w:val="0"/>
      <w:marBottom w:val="0"/>
      <w:divBdr>
        <w:top w:val="none" w:sz="0" w:space="0" w:color="auto"/>
        <w:left w:val="none" w:sz="0" w:space="0" w:color="auto"/>
        <w:bottom w:val="none" w:sz="0" w:space="0" w:color="auto"/>
        <w:right w:val="none" w:sz="0" w:space="0" w:color="auto"/>
      </w:divBdr>
    </w:div>
    <w:div w:id="5157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6</Pages>
  <Words>497</Words>
  <Characters>2839</Characters>
  <Application>Microsoft Office Word</Application>
  <DocSecurity>0</DocSecurity>
  <Lines>23</Lines>
  <Paragraphs>6</Paragraphs>
  <ScaleCrop>false</ScaleCrop>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66</cp:lastModifiedBy>
  <cp:revision>39</cp:revision>
  <dcterms:created xsi:type="dcterms:W3CDTF">2023-06-12T08:49:00Z</dcterms:created>
  <dcterms:modified xsi:type="dcterms:W3CDTF">2026-01-13T02:53:00Z</dcterms:modified>
</cp:coreProperties>
</file>